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9D916">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高新区管委会关于印发《天津滨海高新区促进新能源、新材料、新型电力集群融合</w:t>
      </w:r>
    </w:p>
    <w:p w14:paraId="094C1CD1">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创新高质量发展办法》的通知</w:t>
      </w:r>
    </w:p>
    <w:p w14:paraId="3BA077C0">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sz w:val="32"/>
          <w:szCs w:val="32"/>
        </w:rPr>
      </w:pPr>
    </w:p>
    <w:p w14:paraId="4FC63AA6">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Times New Roman" w:hAnsi="Times New Roman"/>
          <w:sz w:val="32"/>
          <w:szCs w:val="32"/>
        </w:rPr>
      </w:pPr>
      <w:r>
        <w:rPr>
          <w:rFonts w:hint="eastAsia" w:ascii="Times New Roman" w:hAnsi="Times New Roman"/>
          <w:sz w:val="32"/>
          <w:szCs w:val="32"/>
        </w:rPr>
        <w:t>高新区各有关单位：</w:t>
      </w:r>
    </w:p>
    <w:p w14:paraId="4810E319">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sz w:val="32"/>
          <w:szCs w:val="32"/>
        </w:rPr>
      </w:pPr>
      <w:r>
        <w:rPr>
          <w:rFonts w:hint="eastAsia" w:ascii="Times New Roman" w:hAnsi="Times New Roman"/>
          <w:sz w:val="32"/>
          <w:szCs w:val="32"/>
        </w:rPr>
        <w:t>《天津滨海高新区促进新能源、新材料、新型电力集群融合创新高质量发展办法》已经天津滨海高新技术产业开发区党委常委会二〇二五年第三十七次（扩大）会议审议通过，现予印发，请各有关部门贯彻执行。</w:t>
      </w:r>
    </w:p>
    <w:p w14:paraId="13B2363A">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sz w:val="32"/>
          <w:szCs w:val="32"/>
        </w:rPr>
      </w:pPr>
    </w:p>
    <w:p w14:paraId="0A1198AB">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sz w:val="32"/>
          <w:szCs w:val="32"/>
        </w:rPr>
      </w:pPr>
    </w:p>
    <w:p w14:paraId="223B4B1F">
      <w:pPr>
        <w:pStyle w:val="2"/>
        <w:keepNext w:val="0"/>
        <w:keepLines w:val="0"/>
        <w:pageBreakBefore w:val="0"/>
        <w:widowControl w:val="0"/>
        <w:kinsoku/>
        <w:wordWrap/>
        <w:overflowPunct/>
        <w:topLinePunct w:val="0"/>
        <w:autoSpaceDE/>
        <w:autoSpaceDN/>
        <w:bidi w:val="0"/>
        <w:adjustRightInd/>
        <w:snapToGrid/>
        <w:spacing w:after="0" w:line="600" w:lineRule="exact"/>
        <w:jc w:val="right"/>
        <w:textAlignment w:val="auto"/>
        <w:rPr>
          <w:rFonts w:hint="default" w:ascii="Times New Roman" w:hAnsi="Times New Roman" w:eastAsia="仿宋_GB2312"/>
          <w:b w:val="0"/>
          <w:bCs w:val="0"/>
          <w:sz w:val="32"/>
          <w:szCs w:val="32"/>
          <w:lang w:val="en-US" w:eastAsia="zh-CN"/>
        </w:rPr>
      </w:pPr>
      <w:r>
        <w:rPr>
          <w:rFonts w:hint="eastAsia" w:ascii="Times New Roman" w:hAnsi="Times New Roman"/>
          <w:b w:val="0"/>
          <w:bCs w:val="0"/>
          <w:sz w:val="32"/>
          <w:szCs w:val="32"/>
          <w:lang w:val="en-US" w:eastAsia="zh-CN"/>
        </w:rPr>
        <w:t>天津滨海高新技术产业开发区管理委员会</w:t>
      </w:r>
    </w:p>
    <w:p w14:paraId="4D583D20">
      <w:pPr>
        <w:pStyle w:val="2"/>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b w:val="0"/>
          <w:bCs w:val="0"/>
          <w:sz w:val="32"/>
          <w:szCs w:val="32"/>
        </w:rPr>
      </w:pPr>
      <w:r>
        <w:rPr>
          <w:rFonts w:hint="eastAsia" w:ascii="Times New Roman" w:hAnsi="Times New Roman"/>
          <w:b w:val="0"/>
          <w:bCs w:val="0"/>
          <w:sz w:val="32"/>
          <w:szCs w:val="32"/>
          <w:lang w:val="en-US" w:eastAsia="zh-CN"/>
        </w:rPr>
        <w:t xml:space="preserve">                          </w:t>
      </w:r>
      <w:r>
        <w:rPr>
          <w:rFonts w:hint="eastAsia" w:ascii="Times New Roman" w:hAnsi="Times New Roman"/>
          <w:b w:val="0"/>
          <w:bCs w:val="0"/>
          <w:sz w:val="32"/>
          <w:szCs w:val="32"/>
        </w:rPr>
        <w:t>2025年</w:t>
      </w:r>
      <w:r>
        <w:rPr>
          <w:rFonts w:hint="eastAsia" w:ascii="Times New Roman" w:hAnsi="Times New Roman"/>
          <w:b w:val="0"/>
          <w:bCs w:val="0"/>
          <w:sz w:val="32"/>
          <w:szCs w:val="32"/>
          <w:lang w:val="en-US" w:eastAsia="zh-CN"/>
        </w:rPr>
        <w:t>9</w:t>
      </w:r>
      <w:r>
        <w:rPr>
          <w:rFonts w:hint="eastAsia" w:ascii="Times New Roman" w:hAnsi="Times New Roman"/>
          <w:b w:val="0"/>
          <w:bCs w:val="0"/>
          <w:sz w:val="32"/>
          <w:szCs w:val="32"/>
        </w:rPr>
        <w:t>月</w:t>
      </w:r>
      <w:r>
        <w:rPr>
          <w:rFonts w:hint="eastAsia" w:ascii="Times New Roman" w:hAnsi="Times New Roman"/>
          <w:b w:val="0"/>
          <w:bCs w:val="0"/>
          <w:sz w:val="32"/>
          <w:szCs w:val="32"/>
          <w:lang w:val="en-US" w:eastAsia="zh-CN"/>
        </w:rPr>
        <w:t>30</w:t>
      </w:r>
      <w:r>
        <w:rPr>
          <w:rFonts w:hint="eastAsia" w:ascii="Times New Roman" w:hAnsi="Times New Roman"/>
          <w:b w:val="0"/>
          <w:bCs w:val="0"/>
          <w:sz w:val="32"/>
          <w:szCs w:val="32"/>
        </w:rPr>
        <w:t>日</w:t>
      </w:r>
    </w:p>
    <w:p w14:paraId="03172288">
      <w:pPr>
        <w:pStyle w:val="2"/>
        <w:keepNext w:val="0"/>
        <w:keepLines w:val="0"/>
        <w:pageBreakBefore w:val="0"/>
        <w:widowControl w:val="0"/>
        <w:kinsoku/>
        <w:wordWrap/>
        <w:overflowPunct/>
        <w:topLinePunct w:val="0"/>
        <w:autoSpaceDE/>
        <w:autoSpaceDN/>
        <w:bidi w:val="0"/>
        <w:adjustRightInd/>
        <w:snapToGrid/>
        <w:spacing w:after="0" w:line="600" w:lineRule="exact"/>
        <w:ind w:firstLine="720"/>
        <w:textAlignment w:val="auto"/>
        <w:rPr>
          <w:rFonts w:hint="eastAsia" w:ascii="Times New Roman" w:hAnsi="Times New Roman" w:cs="仿宋_GB2312"/>
          <w:b w:val="0"/>
          <w:bCs w:val="0"/>
          <w:sz w:val="32"/>
          <w:szCs w:val="32"/>
        </w:rPr>
      </w:pPr>
      <w:r>
        <w:rPr>
          <w:rFonts w:hint="eastAsia" w:ascii="Times New Roman" w:hAnsi="Times New Roman" w:cs="仿宋_GB2312"/>
          <w:b w:val="0"/>
          <w:bCs w:val="0"/>
          <w:sz w:val="32"/>
          <w:szCs w:val="32"/>
        </w:rPr>
        <w:t>（此件主动公开）</w:t>
      </w:r>
    </w:p>
    <w:p w14:paraId="2C57F863">
      <w:pPr>
        <w:rPr>
          <w:rFonts w:hint="eastAsia" w:ascii="Times New Roman" w:hAnsi="Times New Roman" w:eastAsia="方正小标宋简体" w:cs="方正小标宋简体"/>
          <w:sz w:val="44"/>
          <w:szCs w:val="44"/>
        </w:rPr>
      </w:pPr>
      <w:bookmarkStart w:id="0" w:name="_Toc290627532"/>
      <w:r>
        <w:rPr>
          <w:rFonts w:hint="eastAsia" w:ascii="Times New Roman" w:hAnsi="Times New Roman" w:eastAsia="方正小标宋简体" w:cs="方正小标宋简体"/>
          <w:sz w:val="44"/>
          <w:szCs w:val="44"/>
        </w:rPr>
        <w:br w:type="page"/>
      </w:r>
    </w:p>
    <w:p w14:paraId="159A506A">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小标宋简体" w:cs="方正小标宋简体"/>
          <w:sz w:val="44"/>
          <w:szCs w:val="44"/>
          <w:lang w:eastAsia="zh-Hans"/>
        </w:rPr>
      </w:pPr>
      <w:r>
        <w:rPr>
          <w:rFonts w:hint="eastAsia" w:ascii="Times New Roman" w:hAnsi="Times New Roman" w:eastAsia="方正小标宋简体" w:cs="方正小标宋简体"/>
          <w:sz w:val="44"/>
          <w:szCs w:val="44"/>
        </w:rPr>
        <w:t>天津滨海高新区</w:t>
      </w:r>
      <w:bookmarkEnd w:id="0"/>
      <w:r>
        <w:rPr>
          <w:rFonts w:hint="eastAsia" w:ascii="Times New Roman" w:hAnsi="Times New Roman" w:eastAsia="方正小标宋简体" w:cs="方正小标宋简体"/>
          <w:sz w:val="44"/>
          <w:szCs w:val="44"/>
        </w:rPr>
        <w:t>促进</w:t>
      </w:r>
      <w:r>
        <w:rPr>
          <w:rFonts w:hint="eastAsia" w:ascii="Times New Roman" w:hAnsi="Times New Roman" w:eastAsia="方正小标宋简体" w:cs="方正小标宋简体"/>
          <w:sz w:val="44"/>
          <w:szCs w:val="44"/>
          <w:lang w:eastAsia="zh-Hans"/>
        </w:rPr>
        <w:t>新能源、新材料、新型</w:t>
      </w:r>
    </w:p>
    <w:p w14:paraId="1E6C7160">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Hans"/>
        </w:rPr>
        <w:t>电力集群融合创新</w:t>
      </w:r>
      <w:r>
        <w:rPr>
          <w:rFonts w:hint="eastAsia" w:ascii="Times New Roman" w:hAnsi="Times New Roman" w:eastAsia="方正小标宋简体" w:cs="方正小标宋简体"/>
          <w:sz w:val="44"/>
          <w:szCs w:val="44"/>
        </w:rPr>
        <w:t>高质量发展办法</w:t>
      </w:r>
    </w:p>
    <w:p w14:paraId="7A2FC129">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文星标宋"/>
          <w:sz w:val="32"/>
          <w:szCs w:val="32"/>
        </w:rPr>
      </w:pPr>
    </w:p>
    <w:p w14:paraId="3F13FDD0">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rPr>
        <w:t>为贯彻落实中共中央国务院《关于完整准确全面贯彻新发展理念做好碳达峰碳中和工作的意见》</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rPr>
        <w:t>国家发展改革委国家能源局《关于促进新时代新能源高质量发展的实施方案》</w:t>
      </w:r>
      <w:r>
        <w:rPr>
          <w:rFonts w:hint="eastAsia" w:ascii="Times New Roman" w:hAnsi="Times New Roman" w:cs="仿宋_GB2312"/>
          <w:color w:val="auto"/>
          <w:sz w:val="32"/>
          <w:szCs w:val="32"/>
          <w:lang w:eastAsia="zh-CN"/>
        </w:rPr>
        <w:t>，扎实推动科技创新和产业创新深度融合</w:t>
      </w:r>
      <w:r>
        <w:rPr>
          <w:rFonts w:hint="eastAsia" w:ascii="Times New Roman" w:hAnsi="Times New Roman" w:cs="仿宋_GB2312"/>
          <w:color w:val="auto"/>
          <w:sz w:val="32"/>
          <w:szCs w:val="32"/>
        </w:rPr>
        <w:t>，加快高新区</w:t>
      </w:r>
      <w:r>
        <w:rPr>
          <w:rFonts w:hint="eastAsia" w:ascii="Times New Roman" w:hAnsi="Times New Roman" w:cs="仿宋_GB2312"/>
          <w:color w:val="auto"/>
          <w:sz w:val="32"/>
          <w:szCs w:val="32"/>
          <w:lang w:eastAsia="zh-Hans"/>
        </w:rPr>
        <w:t>新能源、新材料、新型电力</w:t>
      </w:r>
      <w:r>
        <w:rPr>
          <w:rFonts w:hint="eastAsia" w:ascii="Times New Roman" w:hAnsi="Times New Roman" w:cs="仿宋_GB2312"/>
          <w:color w:val="auto"/>
          <w:sz w:val="32"/>
          <w:szCs w:val="32"/>
          <w:lang w:val="en-US" w:eastAsia="zh-Hans"/>
        </w:rPr>
        <w:t>产业</w:t>
      </w:r>
      <w:r>
        <w:rPr>
          <w:rFonts w:hint="eastAsia" w:ascii="Times New Roman" w:hAnsi="Times New Roman" w:cs="仿宋_GB2312"/>
          <w:color w:val="auto"/>
          <w:sz w:val="32"/>
          <w:szCs w:val="32"/>
        </w:rPr>
        <w:t>发展步伐，强化产业链要素支撑，切实落实好“碳达峰、碳中和”工作目标要求，结合高新区实际制定本办法。</w:t>
      </w:r>
    </w:p>
    <w:p w14:paraId="1FB43D8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rPr>
        <w:t>本办法所指的新能源、新材料、新型电力产业主要是指各类型的能源产品（包括但不限于各类先进电池、风力发电设备、太阳能光伏光热、氢能、生物质能、海洋能和地热能）及其相关制造装备、核心材料、新能源应用等，以及各类型的新型材料、电力电气能源管理装备、能源数字化、开采装备、热泵设备、绿色低碳应用、循环经济、生态修复治理、CCUS、碳核查核证、绿色金融、碳汇碳资产管理等领域。</w:t>
      </w:r>
    </w:p>
    <w:p w14:paraId="125807AA">
      <w:pPr>
        <w:keepNext w:val="0"/>
        <w:keepLines w:val="0"/>
        <w:pageBreakBefore w:val="0"/>
        <w:widowControl w:val="0"/>
        <w:kinsoku/>
        <w:wordWrap/>
        <w:overflowPunct/>
        <w:topLinePunct w:val="0"/>
        <w:autoSpaceDE/>
        <w:autoSpaceDN/>
        <w:bidi w:val="0"/>
        <w:adjustRightInd/>
        <w:snapToGrid/>
        <w:spacing w:before="233" w:beforeLines="50" w:after="0" w:line="600" w:lineRule="exact"/>
        <w:jc w:val="center"/>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lang w:val="en-US" w:eastAsia="zh-CN"/>
        </w:rPr>
        <w:t>加强</w:t>
      </w:r>
      <w:r>
        <w:rPr>
          <w:rFonts w:hint="eastAsia" w:ascii="Times New Roman" w:hAnsi="Times New Roman" w:eastAsia="黑体" w:cs="黑体"/>
          <w:b w:val="0"/>
          <w:bCs w:val="0"/>
          <w:color w:val="auto"/>
          <w:sz w:val="32"/>
          <w:szCs w:val="32"/>
          <w:lang w:val="en-US" w:eastAsia="zh-Hans"/>
        </w:rPr>
        <w:t>新能源、新材料、新型电力</w:t>
      </w:r>
      <w:r>
        <w:rPr>
          <w:rFonts w:hint="eastAsia" w:ascii="Times New Roman" w:hAnsi="Times New Roman" w:eastAsia="黑体" w:cs="黑体"/>
          <w:b w:val="0"/>
          <w:bCs w:val="0"/>
          <w:color w:val="auto"/>
          <w:sz w:val="32"/>
          <w:szCs w:val="32"/>
          <w:lang w:val="en-US" w:eastAsia="zh-CN"/>
        </w:rPr>
        <w:t>产业主体培育</w:t>
      </w:r>
    </w:p>
    <w:p w14:paraId="271F7392">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cs="仿宋_GB2312"/>
          <w:color w:val="auto"/>
          <w:sz w:val="32"/>
          <w:szCs w:val="32"/>
          <w:lang w:eastAsia="zh-CN"/>
        </w:rPr>
      </w:pPr>
      <w:r>
        <w:rPr>
          <w:rFonts w:hint="eastAsia" w:ascii="Times New Roman" w:hAnsi="Times New Roman" w:eastAsia="楷体_GB2312" w:cs="楷体_GB2312"/>
          <w:b/>
          <w:bCs/>
          <w:color w:val="auto"/>
          <w:sz w:val="32"/>
          <w:szCs w:val="32"/>
          <w:lang w:val="en-US" w:eastAsia="zh-CN"/>
        </w:rPr>
        <w:t>第一条</w:t>
      </w:r>
      <w:r>
        <w:rPr>
          <w:rFonts w:hint="eastAsia" w:ascii="Times New Roman" w:hAnsi="Times New Roman" w:cs="仿宋_GB2312"/>
          <w:color w:val="auto"/>
          <w:sz w:val="32"/>
          <w:szCs w:val="32"/>
          <w:lang w:val="en-US" w:eastAsia="zh-CN"/>
        </w:rPr>
        <w:t xml:space="preserve">  </w:t>
      </w:r>
      <w:r>
        <w:rPr>
          <w:rFonts w:hint="eastAsia" w:ascii="Times New Roman" w:hAnsi="Times New Roman" w:cs="仿宋_GB2312"/>
          <w:color w:val="auto"/>
          <w:sz w:val="32"/>
          <w:szCs w:val="32"/>
        </w:rPr>
        <w:t>按照企业实缴注册资本到位情况，</w:t>
      </w:r>
      <w:r>
        <w:rPr>
          <w:rFonts w:hint="eastAsia" w:ascii="Times New Roman" w:hAnsi="Times New Roman" w:cs="仿宋_GB2312"/>
          <w:color w:val="auto"/>
          <w:sz w:val="32"/>
          <w:szCs w:val="32"/>
          <w:lang w:val="en-US" w:eastAsia="zh-CN"/>
        </w:rPr>
        <w:t>经认定，给予</w:t>
      </w:r>
      <w:r>
        <w:rPr>
          <w:rFonts w:hint="eastAsia" w:ascii="Times New Roman" w:hAnsi="Times New Roman" w:cs="仿宋_GB2312"/>
          <w:color w:val="auto"/>
          <w:sz w:val="32"/>
          <w:szCs w:val="32"/>
        </w:rPr>
        <w:t>每家企业最高</w:t>
      </w:r>
      <w:r>
        <w:rPr>
          <w:rFonts w:hint="eastAsia" w:ascii="Times New Roman" w:hAnsi="Times New Roman" w:cs="仿宋_GB2312"/>
          <w:color w:val="auto"/>
          <w:sz w:val="32"/>
          <w:szCs w:val="32"/>
          <w:lang w:val="en-US" w:eastAsia="zh-CN"/>
        </w:rPr>
        <w:t>10</w:t>
      </w:r>
      <w:r>
        <w:rPr>
          <w:rFonts w:hint="eastAsia" w:ascii="Times New Roman" w:hAnsi="Times New Roman" w:cs="仿宋_GB2312"/>
          <w:color w:val="auto"/>
          <w:sz w:val="32"/>
          <w:szCs w:val="32"/>
        </w:rPr>
        <w:t>00万元</w:t>
      </w:r>
      <w:r>
        <w:rPr>
          <w:rFonts w:hint="eastAsia" w:ascii="Times New Roman" w:hAnsi="Times New Roman" w:cs="仿宋_GB2312"/>
          <w:color w:val="auto"/>
          <w:sz w:val="32"/>
          <w:szCs w:val="32"/>
          <w:lang w:val="en-US" w:eastAsia="zh-CN"/>
        </w:rPr>
        <w:t>奖励</w:t>
      </w:r>
      <w:r>
        <w:rPr>
          <w:rFonts w:hint="eastAsia" w:ascii="Times New Roman" w:hAnsi="Times New Roman" w:cs="仿宋_GB2312"/>
          <w:color w:val="auto"/>
          <w:sz w:val="32"/>
          <w:szCs w:val="32"/>
          <w:lang w:eastAsia="zh-CN"/>
        </w:rPr>
        <w:t>。</w:t>
      </w:r>
    </w:p>
    <w:p w14:paraId="63116653">
      <w:pPr>
        <w:pStyle w:val="2"/>
        <w:rPr>
          <w:rFonts w:hint="default" w:ascii="Times New Roman" w:hAnsi="Times New Roman"/>
        </w:rPr>
      </w:pPr>
    </w:p>
    <w:p w14:paraId="67DC18C2">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cs="仿宋_GB2312"/>
          <w:color w:val="auto"/>
          <w:sz w:val="32"/>
          <w:szCs w:val="32"/>
        </w:rPr>
      </w:pPr>
      <w:r>
        <w:rPr>
          <w:rFonts w:hint="eastAsia" w:ascii="Times New Roman" w:hAnsi="Times New Roman" w:eastAsia="楷体_GB2312" w:cs="楷体_GB2312"/>
          <w:b/>
          <w:bCs/>
          <w:color w:val="auto"/>
          <w:sz w:val="32"/>
          <w:szCs w:val="32"/>
          <w:lang w:val="en-US" w:eastAsia="zh-CN"/>
        </w:rPr>
        <w:t>第二条</w:t>
      </w:r>
      <w:r>
        <w:rPr>
          <w:rFonts w:hint="eastAsia" w:ascii="Times New Roman" w:hAnsi="Times New Roman" w:cs="仿宋_GB2312"/>
          <w:color w:val="auto"/>
          <w:sz w:val="32"/>
          <w:szCs w:val="32"/>
          <w:lang w:val="en-US" w:eastAsia="zh-CN"/>
        </w:rPr>
        <w:t xml:space="preserve">  </w:t>
      </w:r>
      <w:r>
        <w:rPr>
          <w:rFonts w:hint="eastAsia" w:ascii="Times New Roman" w:hAnsi="Times New Roman" w:cs="仿宋_GB2312"/>
          <w:color w:val="auto"/>
          <w:sz w:val="32"/>
          <w:szCs w:val="32"/>
          <w:lang w:val="en-US" w:eastAsia="zh-Hans"/>
        </w:rPr>
        <w:t>在产业细分赛道具有良好成长性</w:t>
      </w:r>
      <w:r>
        <w:rPr>
          <w:rFonts w:hint="eastAsia" w:ascii="Times New Roman" w:hAnsi="Times New Roman" w:cs="仿宋_GB2312"/>
          <w:color w:val="auto"/>
          <w:sz w:val="32"/>
          <w:szCs w:val="32"/>
        </w:rPr>
        <w:t>的</w:t>
      </w:r>
      <w:r>
        <w:rPr>
          <w:rFonts w:hint="eastAsia" w:ascii="Times New Roman" w:hAnsi="Times New Roman" w:cs="仿宋_GB2312"/>
          <w:color w:val="auto"/>
          <w:sz w:val="32"/>
          <w:szCs w:val="32"/>
          <w:lang w:val="en-US" w:eastAsia="zh-CN"/>
        </w:rPr>
        <w:t>科技型中小</w:t>
      </w:r>
      <w:r>
        <w:rPr>
          <w:rFonts w:hint="eastAsia" w:ascii="Times New Roman" w:hAnsi="Times New Roman" w:cs="仿宋_GB2312"/>
          <w:color w:val="auto"/>
          <w:sz w:val="32"/>
          <w:szCs w:val="32"/>
        </w:rPr>
        <w:t>企业</w:t>
      </w:r>
      <w:r>
        <w:rPr>
          <w:rFonts w:hint="eastAsia" w:ascii="Times New Roman" w:hAnsi="Times New Roman" w:cs="仿宋_GB2312"/>
          <w:color w:val="auto"/>
          <w:sz w:val="32"/>
          <w:szCs w:val="32"/>
          <w:lang w:val="en-US" w:eastAsia="zh-Hans"/>
        </w:rPr>
        <w:t>，</w:t>
      </w:r>
      <w:r>
        <w:rPr>
          <w:rFonts w:hint="eastAsia" w:ascii="Times New Roman" w:hAnsi="Times New Roman" w:cs="仿宋_GB2312"/>
          <w:color w:val="auto"/>
          <w:sz w:val="32"/>
          <w:szCs w:val="32"/>
        </w:rPr>
        <w:t>由企业提出申请，经</w:t>
      </w:r>
      <w:r>
        <w:rPr>
          <w:rFonts w:hint="eastAsia" w:ascii="Times New Roman" w:hAnsi="Times New Roman" w:cs="仿宋_GB2312"/>
          <w:color w:val="auto"/>
          <w:sz w:val="32"/>
          <w:szCs w:val="32"/>
          <w:lang w:val="en-US" w:eastAsia="zh-CN"/>
        </w:rPr>
        <w:t>认定，</w:t>
      </w:r>
      <w:r>
        <w:rPr>
          <w:rFonts w:hint="eastAsia" w:ascii="Times New Roman" w:hAnsi="Times New Roman" w:cs="仿宋_GB2312"/>
          <w:color w:val="auto"/>
          <w:sz w:val="32"/>
          <w:szCs w:val="32"/>
        </w:rPr>
        <w:t>给予每家企业</w:t>
      </w:r>
      <w:r>
        <w:rPr>
          <w:rFonts w:hint="eastAsia" w:ascii="Times New Roman" w:hAnsi="Times New Roman" w:cs="仿宋_GB2312"/>
          <w:color w:val="auto"/>
          <w:sz w:val="32"/>
          <w:szCs w:val="32"/>
          <w:lang w:val="en-US" w:eastAsia="zh-CN"/>
        </w:rPr>
        <w:t>最高</w:t>
      </w:r>
      <w:r>
        <w:rPr>
          <w:rFonts w:hint="default" w:ascii="Times New Roman" w:hAnsi="Times New Roman" w:cs="仿宋_GB2312"/>
          <w:color w:val="auto"/>
          <w:sz w:val="32"/>
          <w:szCs w:val="32"/>
        </w:rPr>
        <w:t>10</w:t>
      </w:r>
      <w:r>
        <w:rPr>
          <w:rFonts w:hint="eastAsia" w:ascii="Times New Roman" w:hAnsi="Times New Roman" w:cs="仿宋_GB2312"/>
          <w:color w:val="auto"/>
          <w:sz w:val="32"/>
          <w:szCs w:val="32"/>
        </w:rPr>
        <w:t>0万元的</w:t>
      </w:r>
      <w:r>
        <w:rPr>
          <w:rFonts w:hint="eastAsia" w:ascii="Times New Roman" w:hAnsi="Times New Roman" w:cs="仿宋_GB2312"/>
          <w:color w:val="auto"/>
          <w:sz w:val="32"/>
          <w:szCs w:val="32"/>
          <w:lang w:val="en-US" w:eastAsia="zh-CN"/>
        </w:rPr>
        <w:t>培育专项支持</w:t>
      </w:r>
      <w:r>
        <w:rPr>
          <w:rFonts w:hint="eastAsia" w:ascii="Times New Roman" w:hAnsi="Times New Roman" w:cs="仿宋_GB2312"/>
          <w:color w:val="auto"/>
          <w:sz w:val="32"/>
          <w:szCs w:val="32"/>
        </w:rPr>
        <w:t>，帮助其提高</w:t>
      </w:r>
      <w:r>
        <w:rPr>
          <w:rFonts w:hint="eastAsia" w:ascii="Times New Roman" w:hAnsi="Times New Roman" w:cs="仿宋_GB2312"/>
          <w:color w:val="auto"/>
          <w:sz w:val="32"/>
          <w:szCs w:val="32"/>
          <w:lang w:val="en-US" w:eastAsia="zh-Hans"/>
        </w:rPr>
        <w:t>创新</w:t>
      </w:r>
      <w:r>
        <w:rPr>
          <w:rFonts w:hint="eastAsia" w:ascii="Times New Roman" w:hAnsi="Times New Roman" w:cs="仿宋_GB2312"/>
          <w:color w:val="auto"/>
          <w:sz w:val="32"/>
          <w:szCs w:val="32"/>
        </w:rPr>
        <w:t>能力</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lang w:val="en-US" w:eastAsia="zh-Hans"/>
        </w:rPr>
        <w:t>团队建设能力</w:t>
      </w:r>
      <w:r>
        <w:rPr>
          <w:rFonts w:hint="eastAsia" w:ascii="Times New Roman" w:hAnsi="Times New Roman" w:cs="仿宋_GB2312"/>
          <w:color w:val="auto"/>
          <w:sz w:val="32"/>
          <w:szCs w:val="32"/>
        </w:rPr>
        <w:t>，实现快速成长。</w:t>
      </w:r>
    </w:p>
    <w:p w14:paraId="5A45EC12">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cs="仿宋_GB2312"/>
          <w:color w:val="auto"/>
          <w:sz w:val="32"/>
          <w:szCs w:val="32"/>
        </w:rPr>
      </w:pPr>
      <w:r>
        <w:rPr>
          <w:rFonts w:hint="eastAsia" w:ascii="Times New Roman" w:hAnsi="Times New Roman" w:eastAsia="楷体_GB2312" w:cs="楷体_GB2312"/>
          <w:b/>
          <w:bCs/>
          <w:color w:val="auto"/>
          <w:sz w:val="32"/>
          <w:szCs w:val="32"/>
          <w:lang w:val="en-US" w:eastAsia="zh-CN"/>
        </w:rPr>
        <w:t>第三条</w:t>
      </w:r>
      <w:r>
        <w:rPr>
          <w:rFonts w:hint="eastAsia" w:ascii="Times New Roman" w:hAnsi="Times New Roman" w:cs="仿宋_GB2312"/>
          <w:color w:val="auto"/>
          <w:sz w:val="32"/>
          <w:szCs w:val="32"/>
          <w:lang w:val="en-US" w:eastAsia="zh-CN"/>
        </w:rPr>
        <w:t xml:space="preserve">  </w:t>
      </w:r>
      <w:r>
        <w:rPr>
          <w:rFonts w:hint="default" w:ascii="Times New Roman" w:hAnsi="Times New Roman" w:cs="仿宋_GB2312"/>
          <w:color w:val="auto"/>
          <w:sz w:val="32"/>
          <w:szCs w:val="32"/>
          <w:lang w:eastAsia="zh-Hans"/>
        </w:rPr>
        <w:t>支持企业盘活高新区现有房地资源，挖掘闲置低效资产价值。</w:t>
      </w:r>
      <w:r>
        <w:rPr>
          <w:rFonts w:hint="eastAsia" w:ascii="Times New Roman" w:hAnsi="Times New Roman" w:cs="仿宋_GB2312"/>
          <w:color w:val="auto"/>
          <w:sz w:val="32"/>
          <w:szCs w:val="32"/>
        </w:rPr>
        <w:t>对在高新区</w:t>
      </w:r>
      <w:r>
        <w:rPr>
          <w:rFonts w:hint="eastAsia" w:ascii="Times New Roman" w:hAnsi="Times New Roman" w:cs="仿宋_GB2312"/>
          <w:color w:val="auto"/>
          <w:sz w:val="32"/>
          <w:szCs w:val="32"/>
          <w:lang w:val="en-US" w:eastAsia="zh-CN"/>
        </w:rPr>
        <w:t>新增</w:t>
      </w:r>
      <w:r>
        <w:rPr>
          <w:rFonts w:hint="eastAsia" w:ascii="Times New Roman" w:hAnsi="Times New Roman" w:cs="仿宋_GB2312"/>
          <w:color w:val="auto"/>
          <w:sz w:val="32"/>
          <w:szCs w:val="32"/>
        </w:rPr>
        <w:t>租赁自用办公、</w:t>
      </w:r>
      <w:r>
        <w:rPr>
          <w:rFonts w:hint="eastAsia" w:ascii="Times New Roman" w:hAnsi="Times New Roman" w:cs="仿宋_GB2312"/>
          <w:color w:val="auto"/>
          <w:sz w:val="32"/>
          <w:szCs w:val="32"/>
          <w:lang w:val="en-US" w:eastAsia="zh-CN"/>
        </w:rPr>
        <w:t>生产</w:t>
      </w:r>
      <w:r>
        <w:rPr>
          <w:rFonts w:hint="eastAsia" w:ascii="Times New Roman" w:hAnsi="Times New Roman" w:cs="仿宋_GB2312"/>
          <w:color w:val="auto"/>
          <w:sz w:val="32"/>
          <w:szCs w:val="32"/>
        </w:rPr>
        <w:t>用房的，按照不超过租金金额的</w:t>
      </w:r>
      <w:r>
        <w:rPr>
          <w:rFonts w:hint="eastAsia" w:ascii="Times New Roman" w:hAnsi="Times New Roman" w:cs="仿宋_GB2312"/>
          <w:color w:val="auto"/>
          <w:sz w:val="32"/>
          <w:szCs w:val="32"/>
          <w:lang w:val="en-US" w:eastAsia="zh-CN"/>
        </w:rPr>
        <w:t>8</w:t>
      </w:r>
      <w:r>
        <w:rPr>
          <w:rFonts w:hint="eastAsia" w:ascii="Times New Roman" w:hAnsi="Times New Roman" w:cs="仿宋_GB2312"/>
          <w:color w:val="auto"/>
          <w:sz w:val="32"/>
          <w:szCs w:val="32"/>
        </w:rPr>
        <w:t>0%且最高</w:t>
      </w:r>
      <w:r>
        <w:rPr>
          <w:rFonts w:hint="eastAsia" w:ascii="Times New Roman" w:hAnsi="Times New Roman" w:cs="仿宋_GB2312"/>
          <w:color w:val="auto"/>
          <w:sz w:val="32"/>
          <w:szCs w:val="32"/>
          <w:lang w:val="en-US" w:eastAsia="zh-CN"/>
        </w:rPr>
        <w:t>不超过</w:t>
      </w:r>
      <w:r>
        <w:rPr>
          <w:rFonts w:hint="eastAsia" w:ascii="Times New Roman" w:hAnsi="Times New Roman" w:cs="仿宋_GB2312"/>
          <w:color w:val="auto"/>
          <w:sz w:val="32"/>
          <w:szCs w:val="32"/>
        </w:rPr>
        <w:t xml:space="preserve"> 60元/平米/月的标准给予房租补贴，</w:t>
      </w:r>
      <w:r>
        <w:rPr>
          <w:rFonts w:hint="eastAsia" w:ascii="Times New Roman" w:hAnsi="Times New Roman" w:cs="仿宋_GB2312"/>
          <w:color w:val="auto"/>
          <w:sz w:val="32"/>
          <w:szCs w:val="32"/>
          <w:lang w:val="en-US" w:eastAsia="zh-CN"/>
        </w:rPr>
        <w:t>经认定，</w:t>
      </w:r>
      <w:r>
        <w:rPr>
          <w:rFonts w:hint="eastAsia" w:ascii="Times New Roman" w:hAnsi="Times New Roman" w:cs="仿宋_GB2312"/>
          <w:color w:val="auto"/>
          <w:sz w:val="32"/>
          <w:szCs w:val="32"/>
        </w:rPr>
        <w:t xml:space="preserve">每家企业每年最高 </w:t>
      </w:r>
      <w:r>
        <w:rPr>
          <w:rFonts w:hint="eastAsia" w:ascii="Times New Roman" w:hAnsi="Times New Roman" w:cs="仿宋_GB2312"/>
          <w:color w:val="auto"/>
          <w:sz w:val="32"/>
          <w:szCs w:val="32"/>
          <w:lang w:val="en-US" w:eastAsia="zh-CN"/>
        </w:rPr>
        <w:t>5</w:t>
      </w:r>
      <w:r>
        <w:rPr>
          <w:rFonts w:hint="eastAsia" w:ascii="Times New Roman" w:hAnsi="Times New Roman" w:cs="仿宋_GB2312"/>
          <w:color w:val="auto"/>
          <w:sz w:val="32"/>
          <w:szCs w:val="32"/>
        </w:rPr>
        <w:t>00万元。</w:t>
      </w:r>
    </w:p>
    <w:p w14:paraId="2C208244">
      <w:pPr>
        <w:keepNext w:val="0"/>
        <w:keepLines w:val="0"/>
        <w:pageBreakBefore w:val="0"/>
        <w:widowControl w:val="0"/>
        <w:kinsoku/>
        <w:wordWrap/>
        <w:overflowPunct/>
        <w:topLinePunct w:val="0"/>
        <w:autoSpaceDE/>
        <w:autoSpaceDN/>
        <w:bidi w:val="0"/>
        <w:adjustRightInd/>
        <w:snapToGrid/>
        <w:spacing w:before="233" w:beforeLines="50" w:after="0" w:line="600" w:lineRule="exact"/>
        <w:ind w:left="0" w:leftChars="0" w:firstLine="0" w:firstLineChars="0"/>
        <w:jc w:val="center"/>
        <w:textAlignment w:val="auto"/>
        <w:rPr>
          <w:rFonts w:hint="eastAsia" w:ascii="Times New Roman" w:hAnsi="Times New Roman" w:eastAsia="黑体" w:cs="黑体"/>
          <w:b w:val="0"/>
          <w:bCs w:val="0"/>
          <w:color w:val="auto"/>
          <w:sz w:val="32"/>
          <w:szCs w:val="32"/>
          <w:highlight w:val="none"/>
          <w:lang w:eastAsia="zh-Hans"/>
        </w:rPr>
      </w:pPr>
      <w:r>
        <w:rPr>
          <w:rFonts w:hint="eastAsia" w:ascii="Times New Roman" w:hAnsi="Times New Roman" w:eastAsia="黑体" w:cs="黑体"/>
          <w:b w:val="0"/>
          <w:bCs w:val="0"/>
          <w:color w:val="auto"/>
          <w:sz w:val="32"/>
          <w:szCs w:val="32"/>
          <w:lang w:val="en-US" w:eastAsia="zh-CN"/>
        </w:rPr>
        <w:t>促进</w:t>
      </w:r>
      <w:r>
        <w:rPr>
          <w:rFonts w:hint="eastAsia" w:ascii="Times New Roman" w:hAnsi="Times New Roman" w:eastAsia="黑体" w:cs="黑体"/>
          <w:b w:val="0"/>
          <w:bCs w:val="0"/>
          <w:color w:val="auto"/>
          <w:sz w:val="32"/>
          <w:szCs w:val="32"/>
          <w:lang w:val="en-US" w:eastAsia="zh-Hans"/>
        </w:rPr>
        <w:t>新能源、新材料、新型电力</w:t>
      </w:r>
      <w:r>
        <w:rPr>
          <w:rFonts w:hint="eastAsia" w:ascii="Times New Roman" w:hAnsi="Times New Roman" w:eastAsia="黑体" w:cs="黑体"/>
          <w:b w:val="0"/>
          <w:bCs w:val="0"/>
          <w:color w:val="auto"/>
          <w:sz w:val="32"/>
          <w:szCs w:val="32"/>
          <w:lang w:val="en-US" w:eastAsia="zh-CN"/>
        </w:rPr>
        <w:t>企业快速发展</w:t>
      </w:r>
    </w:p>
    <w:p w14:paraId="13E1E856">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cs="仿宋_GB2312"/>
          <w:color w:val="auto"/>
          <w:sz w:val="32"/>
          <w:szCs w:val="32"/>
        </w:rPr>
      </w:pPr>
      <w:r>
        <w:rPr>
          <w:rFonts w:hint="eastAsia" w:ascii="Times New Roman" w:hAnsi="Times New Roman" w:eastAsia="楷体_GB2312" w:cs="楷体_GB2312"/>
          <w:b/>
          <w:bCs/>
          <w:color w:val="auto"/>
          <w:sz w:val="32"/>
          <w:szCs w:val="32"/>
          <w:lang w:val="en-US" w:eastAsia="zh-CN"/>
        </w:rPr>
        <w:t>第四条</w:t>
      </w:r>
      <w:r>
        <w:rPr>
          <w:rFonts w:hint="eastAsia" w:ascii="Times New Roman" w:hAnsi="Times New Roman" w:cs="仿宋_GB2312"/>
          <w:color w:val="auto"/>
          <w:sz w:val="32"/>
          <w:szCs w:val="32"/>
          <w:lang w:val="en-US" w:eastAsia="zh-CN"/>
        </w:rPr>
        <w:t xml:space="preserve">  </w:t>
      </w:r>
      <w:r>
        <w:rPr>
          <w:rFonts w:hint="eastAsia" w:ascii="Times New Roman" w:hAnsi="Times New Roman" w:cs="仿宋_GB2312"/>
          <w:color w:val="auto"/>
          <w:sz w:val="32"/>
          <w:szCs w:val="32"/>
        </w:rPr>
        <w:t>对在各类先进电池</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rPr>
        <w:t>风电</w:t>
      </w:r>
      <w:r>
        <w:rPr>
          <w:rFonts w:hint="eastAsia" w:ascii="Times New Roman" w:hAnsi="Times New Roman" w:cs="仿宋_GB2312"/>
          <w:color w:val="auto"/>
          <w:sz w:val="32"/>
          <w:szCs w:val="32"/>
          <w:lang w:val="en-US" w:eastAsia="zh-CN"/>
        </w:rPr>
        <w:t>风热</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lang w:val="en-US" w:eastAsia="zh-Hans"/>
        </w:rPr>
        <w:t>光伏光热、氢能、</w:t>
      </w:r>
      <w:r>
        <w:rPr>
          <w:rFonts w:hint="eastAsia" w:ascii="Times New Roman" w:hAnsi="Times New Roman" w:cs="仿宋_GB2312"/>
          <w:color w:val="auto"/>
          <w:sz w:val="32"/>
          <w:szCs w:val="32"/>
        </w:rPr>
        <w:t>生物质能</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lang w:val="en-US" w:eastAsia="zh-Hans"/>
        </w:rPr>
        <w:t>海洋能</w:t>
      </w:r>
      <w:r>
        <w:rPr>
          <w:rFonts w:hint="eastAsia" w:ascii="Times New Roman" w:hAnsi="Times New Roman" w:cs="仿宋_GB2312"/>
          <w:color w:val="auto"/>
          <w:sz w:val="32"/>
          <w:szCs w:val="32"/>
        </w:rPr>
        <w:t>和地热能</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lang w:val="en-US" w:eastAsia="zh-Hans"/>
        </w:rPr>
        <w:t>以及各类型的</w:t>
      </w:r>
      <w:r>
        <w:rPr>
          <w:rFonts w:hint="eastAsia" w:ascii="Times New Roman" w:hAnsi="Times New Roman" w:cs="仿宋_GB2312"/>
          <w:color w:val="auto"/>
          <w:sz w:val="32"/>
          <w:szCs w:val="32"/>
        </w:rPr>
        <w:t>新型材料</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lang w:val="en-US" w:eastAsia="zh-Hans"/>
        </w:rPr>
        <w:t>电力电气、</w:t>
      </w:r>
      <w:r>
        <w:rPr>
          <w:rFonts w:hint="eastAsia" w:ascii="Times New Roman" w:hAnsi="Times New Roman" w:cs="仿宋_GB2312"/>
          <w:color w:val="auto"/>
          <w:sz w:val="32"/>
          <w:szCs w:val="32"/>
          <w:lang w:val="en-US" w:eastAsia="zh-CN"/>
        </w:rPr>
        <w:t>能源</w:t>
      </w:r>
      <w:r>
        <w:rPr>
          <w:rFonts w:hint="eastAsia" w:ascii="Times New Roman" w:hAnsi="Times New Roman" w:cs="仿宋_GB2312"/>
          <w:color w:val="auto"/>
          <w:sz w:val="32"/>
          <w:szCs w:val="32"/>
          <w:lang w:val="en-US" w:eastAsia="zh-Hans"/>
        </w:rPr>
        <w:t>开采、绿色低碳</w:t>
      </w:r>
      <w:r>
        <w:rPr>
          <w:rFonts w:hint="eastAsia" w:ascii="Times New Roman" w:hAnsi="Times New Roman" w:cs="仿宋_GB2312"/>
          <w:color w:val="auto"/>
          <w:sz w:val="32"/>
          <w:szCs w:val="32"/>
          <w:lang w:val="en-US" w:eastAsia="zh-CN"/>
        </w:rPr>
        <w:t>产品</w:t>
      </w:r>
      <w:r>
        <w:rPr>
          <w:rFonts w:hint="eastAsia" w:ascii="Times New Roman" w:hAnsi="Times New Roman" w:cs="仿宋_GB2312"/>
          <w:color w:val="auto"/>
          <w:sz w:val="32"/>
          <w:szCs w:val="32"/>
        </w:rPr>
        <w:t>及未来产业细分赛道落地产业化项目或小试中试、测试验证平台且实际固定资产投资在</w:t>
      </w:r>
      <w:r>
        <w:rPr>
          <w:rFonts w:hint="eastAsia" w:ascii="Times New Roman" w:hAnsi="Times New Roman" w:cs="仿宋_GB2312"/>
          <w:color w:val="auto"/>
          <w:sz w:val="32"/>
          <w:szCs w:val="32"/>
          <w:lang w:val="en-US" w:eastAsia="zh-CN"/>
        </w:rPr>
        <w:t>2</w:t>
      </w:r>
      <w:r>
        <w:rPr>
          <w:rFonts w:hint="eastAsia" w:ascii="Times New Roman" w:hAnsi="Times New Roman" w:cs="仿宋_GB2312"/>
          <w:color w:val="auto"/>
          <w:sz w:val="32"/>
          <w:szCs w:val="32"/>
        </w:rPr>
        <w:t>000万</w:t>
      </w:r>
      <w:r>
        <w:rPr>
          <w:rFonts w:hint="eastAsia" w:ascii="Times New Roman" w:hAnsi="Times New Roman" w:cs="仿宋_GB2312"/>
          <w:color w:val="auto"/>
          <w:sz w:val="32"/>
          <w:szCs w:val="32"/>
          <w:lang w:val="en-US" w:eastAsia="zh-CN"/>
        </w:rPr>
        <w:t>元</w:t>
      </w:r>
      <w:bookmarkStart w:id="1" w:name="_GoBack"/>
      <w:bookmarkEnd w:id="1"/>
      <w:r>
        <w:rPr>
          <w:rFonts w:hint="eastAsia" w:ascii="Times New Roman" w:hAnsi="Times New Roman" w:cs="仿宋_GB2312"/>
          <w:color w:val="auto"/>
          <w:sz w:val="32"/>
          <w:szCs w:val="32"/>
        </w:rPr>
        <w:t>（含）以上的</w:t>
      </w:r>
      <w:r>
        <w:rPr>
          <w:rFonts w:hint="eastAsia" w:ascii="Times New Roman" w:hAnsi="Times New Roman" w:cs="仿宋_GB2312"/>
          <w:color w:val="auto"/>
          <w:sz w:val="32"/>
          <w:szCs w:val="32"/>
          <w:lang w:val="en-US" w:eastAsia="zh-Hans"/>
        </w:rPr>
        <w:t>企业</w:t>
      </w:r>
      <w:r>
        <w:rPr>
          <w:rFonts w:hint="eastAsia" w:ascii="Times New Roman" w:hAnsi="Times New Roman" w:cs="仿宋_GB2312"/>
          <w:color w:val="auto"/>
          <w:sz w:val="32"/>
          <w:szCs w:val="32"/>
        </w:rPr>
        <w:t>，按实际固定资产投资总额</w:t>
      </w:r>
      <w:r>
        <w:rPr>
          <w:rFonts w:hint="eastAsia" w:ascii="Times New Roman" w:hAnsi="Times New Roman" w:cs="仿宋_GB2312"/>
          <w:color w:val="auto"/>
          <w:sz w:val="32"/>
          <w:szCs w:val="32"/>
          <w:lang w:val="en-US" w:eastAsia="zh-CN"/>
        </w:rPr>
        <w:t>给予最高</w:t>
      </w:r>
      <w:r>
        <w:rPr>
          <w:rFonts w:hint="default" w:ascii="Times New Roman" w:hAnsi="Times New Roman" w:cs="仿宋_GB2312"/>
          <w:color w:val="auto"/>
          <w:sz w:val="32"/>
          <w:szCs w:val="32"/>
        </w:rPr>
        <w:t>1</w:t>
      </w:r>
      <w:r>
        <w:rPr>
          <w:rFonts w:hint="eastAsia" w:ascii="Times New Roman" w:hAnsi="Times New Roman" w:cs="仿宋_GB2312"/>
          <w:color w:val="auto"/>
          <w:sz w:val="32"/>
          <w:szCs w:val="32"/>
          <w:lang w:val="en-US" w:eastAsia="zh-CN"/>
        </w:rPr>
        <w:t>5</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的支持</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经认定，</w:t>
      </w:r>
      <w:r>
        <w:rPr>
          <w:rFonts w:hint="eastAsia" w:ascii="Times New Roman" w:hAnsi="Times New Roman" w:cs="仿宋_GB2312"/>
          <w:color w:val="auto"/>
          <w:sz w:val="32"/>
          <w:szCs w:val="32"/>
        </w:rPr>
        <w:t>每家企业</w:t>
      </w:r>
      <w:r>
        <w:rPr>
          <w:rFonts w:hint="eastAsia" w:ascii="Times New Roman" w:hAnsi="Times New Roman" w:cs="仿宋_GB2312"/>
          <w:color w:val="auto"/>
          <w:sz w:val="32"/>
          <w:szCs w:val="32"/>
          <w:lang w:val="en-US" w:eastAsia="zh-CN"/>
        </w:rPr>
        <w:t>每年</w:t>
      </w:r>
      <w:r>
        <w:rPr>
          <w:rFonts w:hint="eastAsia" w:ascii="Times New Roman" w:hAnsi="Times New Roman" w:cs="仿宋_GB2312"/>
          <w:color w:val="auto"/>
          <w:sz w:val="32"/>
          <w:szCs w:val="32"/>
        </w:rPr>
        <w:t>最高</w:t>
      </w:r>
      <w:r>
        <w:rPr>
          <w:rFonts w:hint="eastAsia" w:ascii="Times New Roman" w:hAnsi="Times New Roman" w:cs="仿宋_GB2312"/>
          <w:color w:val="auto"/>
          <w:sz w:val="32"/>
          <w:szCs w:val="32"/>
          <w:lang w:val="en-US" w:eastAsia="zh-CN"/>
        </w:rPr>
        <w:t>1亿</w:t>
      </w:r>
      <w:r>
        <w:rPr>
          <w:rFonts w:hint="eastAsia" w:ascii="Times New Roman" w:hAnsi="Times New Roman" w:cs="仿宋_GB2312"/>
          <w:color w:val="auto"/>
          <w:sz w:val="32"/>
          <w:szCs w:val="32"/>
        </w:rPr>
        <w:t>元。</w:t>
      </w:r>
    </w:p>
    <w:p w14:paraId="2C222D1F">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cs="仿宋_GB2312"/>
          <w:color w:val="auto"/>
          <w:sz w:val="32"/>
          <w:szCs w:val="32"/>
          <w:lang w:val="en-US" w:eastAsia="zh-CN"/>
        </w:rPr>
      </w:pPr>
      <w:r>
        <w:rPr>
          <w:rFonts w:hint="eastAsia" w:ascii="Times New Roman" w:hAnsi="Times New Roman" w:eastAsia="楷体_GB2312" w:cs="楷体_GB2312"/>
          <w:b/>
          <w:bCs/>
          <w:color w:val="auto"/>
          <w:sz w:val="32"/>
          <w:szCs w:val="32"/>
          <w:lang w:val="en-US" w:eastAsia="zh-CN"/>
        </w:rPr>
        <w:t>第五条</w:t>
      </w:r>
      <w:r>
        <w:rPr>
          <w:rFonts w:hint="eastAsia" w:ascii="Times New Roman" w:hAnsi="Times New Roman" w:cs="仿宋_GB2312"/>
          <w:color w:val="auto"/>
          <w:sz w:val="32"/>
          <w:szCs w:val="32"/>
          <w:lang w:val="en-US" w:eastAsia="zh-CN"/>
        </w:rPr>
        <w:t xml:space="preserve">  鼓励企业加快人才引聚，发挥人才智力支撑作用。对企业的首席科学家、核心技术人员及其他同级别的高层次人才，经认定，给予每人每年最高20万元支持，政策期内</w:t>
      </w:r>
      <w:r>
        <w:rPr>
          <w:rFonts w:hint="eastAsia" w:ascii="Times New Roman" w:hAnsi="Times New Roman" w:cs="仿宋_GB2312"/>
          <w:color w:val="auto"/>
          <w:sz w:val="32"/>
          <w:szCs w:val="32"/>
        </w:rPr>
        <w:t>每家企业</w:t>
      </w:r>
      <w:r>
        <w:rPr>
          <w:rFonts w:hint="eastAsia" w:ascii="Times New Roman" w:hAnsi="Times New Roman" w:cs="仿宋_GB2312"/>
          <w:color w:val="auto"/>
          <w:sz w:val="32"/>
          <w:szCs w:val="32"/>
          <w:lang w:val="en-US" w:eastAsia="zh-CN"/>
        </w:rPr>
        <w:t>每年享受者不超过5人，</w:t>
      </w:r>
      <w:r>
        <w:rPr>
          <w:rFonts w:hint="eastAsia" w:ascii="Times New Roman" w:hAnsi="Times New Roman" w:cs="仿宋_GB2312"/>
          <w:color w:val="auto"/>
          <w:sz w:val="32"/>
          <w:szCs w:val="32"/>
        </w:rPr>
        <w:t>每家企业</w:t>
      </w:r>
      <w:r>
        <w:rPr>
          <w:rFonts w:hint="eastAsia" w:ascii="Times New Roman" w:hAnsi="Times New Roman" w:cs="仿宋_GB2312"/>
          <w:color w:val="auto"/>
          <w:sz w:val="32"/>
          <w:szCs w:val="32"/>
          <w:lang w:val="en-US" w:eastAsia="zh-CN"/>
        </w:rPr>
        <w:t>每年最高100万元。对人员规模首次达到50人、100人、200人的企业，经认定，分别一次性给予</w:t>
      </w:r>
      <w:r>
        <w:rPr>
          <w:rFonts w:hint="eastAsia" w:ascii="Times New Roman" w:hAnsi="Times New Roman" w:cs="仿宋_GB2312"/>
          <w:color w:val="auto"/>
          <w:sz w:val="32"/>
          <w:szCs w:val="32"/>
        </w:rPr>
        <w:t>每家企业</w:t>
      </w:r>
      <w:r>
        <w:rPr>
          <w:rFonts w:hint="eastAsia" w:ascii="Times New Roman" w:hAnsi="Times New Roman" w:cs="仿宋_GB2312"/>
          <w:color w:val="auto"/>
          <w:sz w:val="32"/>
          <w:szCs w:val="32"/>
          <w:lang w:val="en-US" w:eastAsia="zh-CN"/>
        </w:rPr>
        <w:t>50万元、100万元、150万元的奖励。</w:t>
      </w:r>
    </w:p>
    <w:p w14:paraId="191125C7">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cs="仿宋_GB2312"/>
          <w:color w:val="auto"/>
          <w:sz w:val="32"/>
          <w:szCs w:val="32"/>
        </w:rPr>
      </w:pPr>
      <w:r>
        <w:rPr>
          <w:rFonts w:hint="eastAsia" w:ascii="Times New Roman" w:hAnsi="Times New Roman" w:eastAsia="楷体_GB2312" w:cs="楷体_GB2312"/>
          <w:b/>
          <w:bCs/>
          <w:color w:val="auto"/>
          <w:sz w:val="32"/>
          <w:szCs w:val="32"/>
          <w:lang w:val="en-US" w:eastAsia="zh-CN"/>
        </w:rPr>
        <w:t>第六条</w:t>
      </w:r>
      <w:r>
        <w:rPr>
          <w:rFonts w:hint="eastAsia" w:ascii="Times New Roman" w:hAnsi="Times New Roman" w:cs="仿宋_GB2312"/>
          <w:color w:val="auto"/>
          <w:sz w:val="32"/>
          <w:szCs w:val="32"/>
          <w:lang w:val="en-US" w:eastAsia="zh-CN"/>
        </w:rPr>
        <w:t xml:space="preserve">  </w:t>
      </w:r>
      <w:r>
        <w:rPr>
          <w:rFonts w:hint="eastAsia" w:ascii="Times New Roman" w:hAnsi="Times New Roman" w:cs="仿宋_GB2312"/>
          <w:color w:val="auto"/>
          <w:sz w:val="32"/>
          <w:szCs w:val="32"/>
        </w:rPr>
        <w:t>鼓励企业进行股权融资（资本市场和资本柜台交易市场除外），对</w:t>
      </w:r>
      <w:r>
        <w:rPr>
          <w:rFonts w:hint="eastAsia" w:ascii="Times New Roman" w:hAnsi="Times New Roman" w:cs="仿宋_GB2312"/>
          <w:color w:val="auto"/>
          <w:sz w:val="32"/>
          <w:szCs w:val="32"/>
          <w:lang w:val="en-US" w:eastAsia="zh-Hans"/>
        </w:rPr>
        <w:t>单轮次融资</w:t>
      </w:r>
      <w:r>
        <w:rPr>
          <w:rFonts w:hint="eastAsia" w:ascii="Times New Roman" w:hAnsi="Times New Roman" w:cs="仿宋_GB2312"/>
          <w:color w:val="auto"/>
          <w:sz w:val="32"/>
          <w:szCs w:val="32"/>
        </w:rPr>
        <w:t>成功获得</w:t>
      </w:r>
      <w:r>
        <w:rPr>
          <w:rFonts w:hint="default" w:ascii="Times New Roman" w:hAnsi="Times New Roman" w:cs="仿宋_GB2312"/>
          <w:color w:val="auto"/>
          <w:sz w:val="32"/>
          <w:szCs w:val="32"/>
        </w:rPr>
        <w:t>2</w:t>
      </w:r>
      <w:r>
        <w:rPr>
          <w:rFonts w:hint="eastAsia" w:ascii="Times New Roman" w:hAnsi="Times New Roman" w:cs="仿宋_GB2312"/>
          <w:color w:val="auto"/>
          <w:sz w:val="32"/>
          <w:szCs w:val="32"/>
          <w:lang w:val="en-US" w:eastAsia="zh-Hans"/>
        </w:rPr>
        <w:t>千万</w:t>
      </w:r>
      <w:r>
        <w:rPr>
          <w:rFonts w:hint="eastAsia" w:ascii="Times New Roman" w:hAnsi="Times New Roman" w:cs="仿宋_GB2312"/>
          <w:color w:val="auto"/>
          <w:sz w:val="32"/>
          <w:szCs w:val="32"/>
        </w:rPr>
        <w:t>元</w:t>
      </w:r>
      <w:r>
        <w:rPr>
          <w:rFonts w:hint="eastAsia" w:ascii="Times New Roman" w:hAnsi="Times New Roman" w:cs="仿宋_GB2312"/>
          <w:color w:val="auto"/>
          <w:sz w:val="32"/>
          <w:szCs w:val="32"/>
          <w:lang w:val="en-US" w:eastAsia="zh-Hans"/>
        </w:rPr>
        <w:t>至</w:t>
      </w:r>
      <w:r>
        <w:rPr>
          <w:rFonts w:hint="default" w:ascii="Times New Roman" w:hAnsi="Times New Roman" w:cs="仿宋_GB2312"/>
          <w:color w:val="auto"/>
          <w:sz w:val="32"/>
          <w:szCs w:val="32"/>
          <w:lang w:eastAsia="zh-Hans"/>
        </w:rPr>
        <w:t>2</w:t>
      </w:r>
      <w:r>
        <w:rPr>
          <w:rFonts w:hint="eastAsia" w:ascii="Times New Roman" w:hAnsi="Times New Roman" w:cs="仿宋_GB2312"/>
          <w:color w:val="auto"/>
          <w:sz w:val="32"/>
          <w:szCs w:val="32"/>
          <w:lang w:val="en-US" w:eastAsia="zh-Hans"/>
        </w:rPr>
        <w:t>亿元</w:t>
      </w:r>
      <w:r>
        <w:rPr>
          <w:rFonts w:hint="eastAsia" w:ascii="Times New Roman" w:hAnsi="Times New Roman" w:cs="仿宋_GB2312"/>
          <w:color w:val="auto"/>
          <w:sz w:val="32"/>
          <w:szCs w:val="32"/>
        </w:rPr>
        <w:t>融资并在高新区实现新增投资的企业按照实际融资到位资金</w:t>
      </w:r>
      <w:r>
        <w:rPr>
          <w:rFonts w:hint="eastAsia" w:ascii="Times New Roman" w:hAnsi="Times New Roman" w:cs="仿宋_GB2312"/>
          <w:color w:val="auto"/>
          <w:sz w:val="32"/>
          <w:szCs w:val="32"/>
          <w:lang w:val="en-US" w:eastAsia="zh-CN"/>
        </w:rPr>
        <w:t>给予最高</w:t>
      </w:r>
      <w:r>
        <w:rPr>
          <w:rFonts w:hint="default" w:ascii="Times New Roman" w:hAnsi="Times New Roman" w:cs="仿宋_GB2312"/>
          <w:color w:val="auto"/>
          <w:sz w:val="32"/>
          <w:szCs w:val="32"/>
        </w:rPr>
        <w:t>1%</w:t>
      </w:r>
      <w:r>
        <w:rPr>
          <w:rFonts w:hint="eastAsia" w:ascii="Times New Roman" w:hAnsi="Times New Roman" w:cs="仿宋_GB2312"/>
          <w:color w:val="auto"/>
          <w:sz w:val="32"/>
          <w:szCs w:val="32"/>
          <w:lang w:val="en-US" w:eastAsia="zh-CN"/>
        </w:rPr>
        <w:t>的</w:t>
      </w:r>
      <w:r>
        <w:rPr>
          <w:rFonts w:hint="eastAsia" w:ascii="Times New Roman" w:hAnsi="Times New Roman" w:cs="仿宋_GB2312"/>
          <w:color w:val="auto"/>
          <w:sz w:val="32"/>
          <w:szCs w:val="32"/>
        </w:rPr>
        <w:t>一次性奖励，</w:t>
      </w:r>
      <w:r>
        <w:rPr>
          <w:rFonts w:hint="eastAsia" w:ascii="Times New Roman" w:hAnsi="Times New Roman" w:cs="仿宋_GB2312"/>
          <w:color w:val="auto"/>
          <w:sz w:val="32"/>
          <w:szCs w:val="32"/>
          <w:lang w:val="en-US" w:eastAsia="zh-CN"/>
        </w:rPr>
        <w:t>经认定，</w:t>
      </w:r>
      <w:r>
        <w:rPr>
          <w:rFonts w:hint="eastAsia" w:ascii="Times New Roman" w:hAnsi="Times New Roman" w:cs="仿宋_GB2312"/>
          <w:color w:val="auto"/>
          <w:sz w:val="32"/>
          <w:szCs w:val="32"/>
        </w:rPr>
        <w:t>每家企业</w:t>
      </w:r>
      <w:r>
        <w:rPr>
          <w:rFonts w:hint="eastAsia" w:ascii="Times New Roman" w:hAnsi="Times New Roman" w:cs="仿宋_GB2312"/>
          <w:color w:val="auto"/>
          <w:sz w:val="32"/>
          <w:szCs w:val="32"/>
          <w:lang w:val="en-US" w:eastAsia="zh-CN"/>
        </w:rPr>
        <w:t>最高</w:t>
      </w:r>
      <w:r>
        <w:rPr>
          <w:rFonts w:hint="default" w:ascii="Times New Roman" w:hAnsi="Times New Roman" w:cs="仿宋_GB2312"/>
          <w:color w:val="auto"/>
          <w:sz w:val="32"/>
          <w:szCs w:val="32"/>
        </w:rPr>
        <w:t>2</w:t>
      </w:r>
      <w:r>
        <w:rPr>
          <w:rFonts w:hint="eastAsia" w:ascii="Times New Roman" w:hAnsi="Times New Roman" w:cs="仿宋_GB2312"/>
          <w:color w:val="auto"/>
          <w:sz w:val="32"/>
          <w:szCs w:val="32"/>
        </w:rPr>
        <w:t>00万元。</w:t>
      </w:r>
    </w:p>
    <w:p w14:paraId="256CB191">
      <w:pPr>
        <w:keepNext w:val="0"/>
        <w:keepLines w:val="0"/>
        <w:pageBreakBefore w:val="0"/>
        <w:widowControl w:val="0"/>
        <w:kinsoku/>
        <w:wordWrap/>
        <w:overflowPunct/>
        <w:topLinePunct w:val="0"/>
        <w:autoSpaceDE/>
        <w:autoSpaceDN/>
        <w:bidi w:val="0"/>
        <w:adjustRightInd/>
        <w:snapToGrid/>
        <w:spacing w:before="233" w:beforeLines="50" w:after="0" w:line="600" w:lineRule="exact"/>
        <w:ind w:left="0" w:leftChars="0" w:firstLine="0" w:firstLineChars="0"/>
        <w:jc w:val="center"/>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推动</w:t>
      </w:r>
      <w:r>
        <w:rPr>
          <w:rFonts w:hint="eastAsia" w:ascii="Times New Roman" w:hAnsi="Times New Roman" w:eastAsia="黑体" w:cs="黑体"/>
          <w:b w:val="0"/>
          <w:bCs w:val="0"/>
          <w:color w:val="auto"/>
          <w:sz w:val="32"/>
          <w:szCs w:val="32"/>
          <w:lang w:val="en-US" w:eastAsia="zh-Hans"/>
        </w:rPr>
        <w:t>新能源、新材料、新型电力</w:t>
      </w:r>
      <w:r>
        <w:rPr>
          <w:rFonts w:hint="eastAsia" w:ascii="Times New Roman" w:hAnsi="Times New Roman" w:eastAsia="黑体" w:cs="黑体"/>
          <w:b w:val="0"/>
          <w:bCs w:val="0"/>
          <w:color w:val="auto"/>
          <w:sz w:val="32"/>
          <w:szCs w:val="32"/>
          <w:lang w:val="en-US" w:eastAsia="zh-CN"/>
        </w:rPr>
        <w:t>产业技术创新</w:t>
      </w:r>
    </w:p>
    <w:p w14:paraId="6D465161">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cs="仿宋_GB2312"/>
          <w:color w:val="auto"/>
          <w:sz w:val="32"/>
          <w:szCs w:val="32"/>
        </w:rPr>
      </w:pPr>
      <w:r>
        <w:rPr>
          <w:rFonts w:hint="eastAsia" w:ascii="Times New Roman" w:hAnsi="Times New Roman" w:eastAsia="楷体_GB2312" w:cs="楷体_GB2312"/>
          <w:b/>
          <w:bCs/>
          <w:color w:val="auto"/>
          <w:sz w:val="32"/>
          <w:szCs w:val="32"/>
          <w:lang w:val="en-US" w:eastAsia="zh-CN"/>
        </w:rPr>
        <w:t>第七条</w:t>
      </w:r>
      <w:r>
        <w:rPr>
          <w:rFonts w:hint="eastAsia" w:ascii="Times New Roman" w:hAnsi="Times New Roman" w:cs="仿宋_GB2312"/>
          <w:color w:val="auto"/>
          <w:sz w:val="32"/>
          <w:szCs w:val="32"/>
          <w:lang w:val="en-US" w:eastAsia="zh-CN"/>
        </w:rPr>
        <w:t xml:space="preserve">  </w:t>
      </w:r>
      <w:r>
        <w:rPr>
          <w:rFonts w:hint="eastAsia" w:ascii="Times New Roman" w:hAnsi="Times New Roman" w:cs="仿宋_GB2312"/>
          <w:color w:val="auto"/>
          <w:sz w:val="32"/>
          <w:szCs w:val="32"/>
        </w:rPr>
        <w:t>鼓励</w:t>
      </w:r>
      <w:r>
        <w:rPr>
          <w:rFonts w:hint="default" w:ascii="Times New Roman" w:hAnsi="Times New Roman" w:cs="仿宋_GB2312"/>
          <w:color w:val="auto"/>
          <w:sz w:val="32"/>
          <w:szCs w:val="32"/>
        </w:rPr>
        <w:t>新能源、新材料、新型电力</w:t>
      </w:r>
      <w:r>
        <w:rPr>
          <w:rFonts w:hint="eastAsia" w:ascii="Times New Roman" w:hAnsi="Times New Roman" w:cs="仿宋_GB2312"/>
          <w:color w:val="auto"/>
          <w:sz w:val="32"/>
          <w:szCs w:val="32"/>
        </w:rPr>
        <w:t>企业加大研发投入</w:t>
      </w:r>
    </w:p>
    <w:p w14:paraId="48DB305E">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rPr>
        <w:t>支持</w:t>
      </w:r>
      <w:r>
        <w:rPr>
          <w:rFonts w:hint="eastAsia" w:ascii="Times New Roman" w:hAnsi="Times New Roman" w:cs="仿宋_GB2312"/>
          <w:color w:val="auto"/>
          <w:sz w:val="32"/>
          <w:szCs w:val="32"/>
          <w:lang w:val="en-US" w:eastAsia="zh-Hans"/>
        </w:rPr>
        <w:t>企业</w:t>
      </w:r>
      <w:r>
        <w:rPr>
          <w:rFonts w:hint="eastAsia" w:ascii="Times New Roman" w:hAnsi="Times New Roman" w:cs="仿宋_GB2312"/>
          <w:color w:val="auto"/>
          <w:sz w:val="32"/>
          <w:szCs w:val="32"/>
          <w:lang w:val="en-US" w:eastAsia="zh-CN"/>
        </w:rPr>
        <w:t>在</w:t>
      </w:r>
      <w:r>
        <w:rPr>
          <w:rFonts w:hint="eastAsia" w:ascii="Times New Roman" w:hAnsi="Times New Roman" w:cs="仿宋_GB2312"/>
          <w:color w:val="auto"/>
          <w:sz w:val="32"/>
          <w:szCs w:val="32"/>
        </w:rPr>
        <w:t>各类先进电池</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rPr>
        <w:t>风电</w:t>
      </w:r>
      <w:r>
        <w:rPr>
          <w:rFonts w:hint="eastAsia" w:ascii="Times New Roman" w:hAnsi="Times New Roman" w:cs="仿宋_GB2312"/>
          <w:color w:val="auto"/>
          <w:sz w:val="32"/>
          <w:szCs w:val="32"/>
          <w:lang w:val="en-US" w:eastAsia="zh-CN"/>
        </w:rPr>
        <w:t>风热</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lang w:val="en-US" w:eastAsia="zh-Hans"/>
        </w:rPr>
        <w:t>光伏光热、氢能、</w:t>
      </w:r>
      <w:r>
        <w:rPr>
          <w:rFonts w:hint="eastAsia" w:ascii="Times New Roman" w:hAnsi="Times New Roman" w:cs="仿宋_GB2312"/>
          <w:color w:val="auto"/>
          <w:sz w:val="32"/>
          <w:szCs w:val="32"/>
        </w:rPr>
        <w:t>生物质能</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lang w:val="en-US" w:eastAsia="zh-Hans"/>
        </w:rPr>
        <w:t>海洋能</w:t>
      </w:r>
      <w:r>
        <w:rPr>
          <w:rFonts w:hint="eastAsia" w:ascii="Times New Roman" w:hAnsi="Times New Roman" w:cs="仿宋_GB2312"/>
          <w:color w:val="auto"/>
          <w:sz w:val="32"/>
          <w:szCs w:val="32"/>
        </w:rPr>
        <w:t>和地热能</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lang w:val="en-US" w:eastAsia="zh-Hans"/>
        </w:rPr>
        <w:t>以及各类型的</w:t>
      </w:r>
      <w:r>
        <w:rPr>
          <w:rFonts w:hint="eastAsia" w:ascii="Times New Roman" w:hAnsi="Times New Roman" w:cs="仿宋_GB2312"/>
          <w:color w:val="auto"/>
          <w:sz w:val="32"/>
          <w:szCs w:val="32"/>
        </w:rPr>
        <w:t>新型材料</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lang w:val="en-US" w:eastAsia="zh-Hans"/>
        </w:rPr>
        <w:t>电力电气、</w:t>
      </w:r>
      <w:r>
        <w:rPr>
          <w:rFonts w:hint="eastAsia" w:ascii="Times New Roman" w:hAnsi="Times New Roman" w:cs="仿宋_GB2312"/>
          <w:color w:val="auto"/>
          <w:sz w:val="32"/>
          <w:szCs w:val="32"/>
          <w:lang w:val="en-US" w:eastAsia="zh-CN"/>
        </w:rPr>
        <w:t>能源</w:t>
      </w:r>
      <w:r>
        <w:rPr>
          <w:rFonts w:hint="eastAsia" w:ascii="Times New Roman" w:hAnsi="Times New Roman" w:cs="仿宋_GB2312"/>
          <w:color w:val="auto"/>
          <w:sz w:val="32"/>
          <w:szCs w:val="32"/>
          <w:lang w:val="en-US" w:eastAsia="zh-Hans"/>
        </w:rPr>
        <w:t>开采、绿色低碳</w:t>
      </w:r>
      <w:r>
        <w:rPr>
          <w:rFonts w:hint="eastAsia" w:ascii="Times New Roman" w:hAnsi="Times New Roman" w:cs="仿宋_GB2312"/>
          <w:color w:val="auto"/>
          <w:sz w:val="32"/>
          <w:szCs w:val="32"/>
          <w:lang w:val="en-US" w:eastAsia="zh-CN"/>
        </w:rPr>
        <w:t>产品</w:t>
      </w:r>
      <w:r>
        <w:rPr>
          <w:rFonts w:hint="eastAsia" w:ascii="Times New Roman" w:hAnsi="Times New Roman" w:cs="仿宋_GB2312"/>
          <w:color w:val="auto"/>
          <w:sz w:val="32"/>
          <w:szCs w:val="32"/>
        </w:rPr>
        <w:t>及未来产业细分赛道开展关键核心技术攻关</w:t>
      </w:r>
      <w:r>
        <w:rPr>
          <w:rFonts w:hint="eastAsia" w:ascii="Times New Roman" w:hAnsi="Times New Roman" w:cs="仿宋_GB2312"/>
          <w:color w:val="auto"/>
          <w:sz w:val="32"/>
          <w:szCs w:val="32"/>
          <w:lang w:eastAsia="zh-Hans"/>
        </w:rPr>
        <w:t>，加快培育一批牵引能力强，辐射带动广、集群效应大的生态主导型企业，充分发挥行业带动作用引领产业生态集聚。培育一批专精特新“小巨人”、制造业单项冠军</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lang w:val="en-US" w:eastAsia="zh-CN"/>
        </w:rPr>
        <w:t>对企业研发投入给予支持（</w:t>
      </w:r>
      <w:r>
        <w:rPr>
          <w:rFonts w:hint="eastAsia" w:ascii="Times New Roman" w:hAnsi="Times New Roman" w:cs="仿宋_GB2312"/>
          <w:color w:val="auto"/>
          <w:sz w:val="32"/>
          <w:szCs w:val="32"/>
        </w:rPr>
        <w:t>研发费用以加计扣除明细表为准</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rPr>
        <w:t>。</w:t>
      </w:r>
    </w:p>
    <w:p w14:paraId="27F6296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rPr>
        <w:t>对拥有自主知识产权、创新能力强、成长性高</w:t>
      </w:r>
      <w:r>
        <w:rPr>
          <w:rFonts w:hint="eastAsia" w:ascii="Times New Roman" w:hAnsi="Times New Roman" w:cs="仿宋_GB2312"/>
          <w:color w:val="auto"/>
          <w:sz w:val="32"/>
          <w:szCs w:val="32"/>
          <w:lang w:val="en-US" w:eastAsia="zh-Hans"/>
        </w:rPr>
        <w:t>的</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给予</w:t>
      </w:r>
      <w:r>
        <w:rPr>
          <w:rFonts w:hint="eastAsia" w:ascii="Times New Roman" w:hAnsi="Times New Roman" w:cs="仿宋_GB2312"/>
          <w:color w:val="auto"/>
          <w:sz w:val="32"/>
          <w:szCs w:val="32"/>
        </w:rPr>
        <w:t>研发经费最高20％的支持，</w:t>
      </w:r>
      <w:r>
        <w:rPr>
          <w:rFonts w:hint="eastAsia" w:ascii="Times New Roman" w:hAnsi="Times New Roman" w:cs="仿宋_GB2312"/>
          <w:color w:val="auto"/>
          <w:sz w:val="32"/>
          <w:szCs w:val="32"/>
          <w:lang w:val="en-US" w:eastAsia="zh-CN"/>
        </w:rPr>
        <w:t>经认定，</w:t>
      </w:r>
      <w:r>
        <w:rPr>
          <w:rFonts w:hint="eastAsia" w:ascii="Times New Roman" w:hAnsi="Times New Roman" w:cs="仿宋_GB2312"/>
          <w:color w:val="auto"/>
          <w:sz w:val="32"/>
          <w:szCs w:val="32"/>
        </w:rPr>
        <w:t>每家企业每年</w:t>
      </w:r>
      <w:r>
        <w:rPr>
          <w:rFonts w:hint="eastAsia" w:ascii="Times New Roman" w:hAnsi="Times New Roman" w:cs="仿宋_GB2312"/>
          <w:color w:val="auto"/>
          <w:sz w:val="32"/>
          <w:szCs w:val="32"/>
          <w:lang w:val="en-US" w:eastAsia="zh-CN"/>
        </w:rPr>
        <w:t>最高20</w:t>
      </w:r>
      <w:r>
        <w:rPr>
          <w:rFonts w:hint="eastAsia" w:ascii="Times New Roman" w:hAnsi="Times New Roman" w:cs="仿宋_GB2312"/>
          <w:color w:val="auto"/>
          <w:sz w:val="32"/>
          <w:szCs w:val="32"/>
        </w:rPr>
        <w:t>00万元。</w:t>
      </w:r>
    </w:p>
    <w:p w14:paraId="4965F7C9">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cs="仿宋_GB2312"/>
          <w:color w:val="auto"/>
          <w:sz w:val="32"/>
          <w:szCs w:val="32"/>
        </w:rPr>
      </w:pPr>
      <w:r>
        <w:rPr>
          <w:rFonts w:hint="eastAsia" w:ascii="Times New Roman" w:hAnsi="Times New Roman" w:eastAsia="楷体_GB2312" w:cs="楷体_GB2312"/>
          <w:b/>
          <w:bCs/>
          <w:color w:val="auto"/>
          <w:sz w:val="32"/>
          <w:szCs w:val="32"/>
          <w:lang w:val="en-US" w:eastAsia="zh-CN"/>
        </w:rPr>
        <w:t>第八条</w:t>
      </w:r>
      <w:r>
        <w:rPr>
          <w:rFonts w:hint="eastAsia" w:ascii="Times New Roman" w:hAnsi="Times New Roman" w:cs="仿宋_GB2312"/>
          <w:color w:val="auto"/>
          <w:sz w:val="32"/>
          <w:szCs w:val="32"/>
          <w:lang w:val="en-US" w:eastAsia="zh-CN"/>
        </w:rPr>
        <w:t xml:space="preserve">  </w:t>
      </w:r>
      <w:r>
        <w:rPr>
          <w:rFonts w:hint="default" w:ascii="Times New Roman" w:hAnsi="Times New Roman" w:cs="仿宋_GB2312"/>
          <w:color w:val="auto"/>
          <w:sz w:val="32"/>
          <w:szCs w:val="32"/>
        </w:rPr>
        <w:t>支持新能源、新材料、新型电力</w:t>
      </w:r>
      <w:r>
        <w:rPr>
          <w:rFonts w:hint="eastAsia" w:ascii="Times New Roman" w:hAnsi="Times New Roman" w:cs="仿宋_GB2312"/>
          <w:color w:val="auto"/>
          <w:sz w:val="32"/>
          <w:szCs w:val="32"/>
          <w:lang w:val="en-US" w:eastAsia="zh-CN"/>
        </w:rPr>
        <w:t>及</w:t>
      </w:r>
      <w:r>
        <w:rPr>
          <w:rFonts w:hint="default" w:ascii="Times New Roman" w:hAnsi="Times New Roman" w:cs="仿宋_GB2312"/>
          <w:color w:val="auto"/>
          <w:sz w:val="32"/>
          <w:szCs w:val="32"/>
        </w:rPr>
        <w:t>上下游企业优化用能结构，提升能源资源利用效率，在制造端扩大可再生能源使用比例。</w:t>
      </w:r>
      <w:r>
        <w:rPr>
          <w:rFonts w:hint="eastAsia" w:ascii="Times New Roman" w:hAnsi="Times New Roman" w:cs="仿宋_GB2312"/>
          <w:color w:val="auto"/>
          <w:sz w:val="32"/>
          <w:szCs w:val="32"/>
        </w:rPr>
        <w:t>支持企业开展产品碳足迹认证</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lang w:val="en-US" w:eastAsia="zh-Hans"/>
        </w:rPr>
        <w:t>低碳工厂、零碳工厂及ESG认证评级等工作</w:t>
      </w:r>
      <w:r>
        <w:rPr>
          <w:rFonts w:hint="eastAsia" w:ascii="Times New Roman" w:hAnsi="Times New Roman" w:cs="仿宋_GB2312"/>
          <w:color w:val="auto"/>
          <w:sz w:val="32"/>
          <w:szCs w:val="32"/>
        </w:rPr>
        <w:t>，对取得</w:t>
      </w:r>
      <w:r>
        <w:rPr>
          <w:rFonts w:hint="eastAsia" w:ascii="Times New Roman" w:hAnsi="Times New Roman" w:cs="仿宋_GB2312"/>
          <w:color w:val="auto"/>
          <w:sz w:val="32"/>
          <w:szCs w:val="32"/>
          <w:lang w:val="en-US" w:eastAsia="zh-Hans"/>
        </w:rPr>
        <w:t>相关</w:t>
      </w:r>
      <w:r>
        <w:rPr>
          <w:rFonts w:hint="eastAsia" w:ascii="Times New Roman" w:hAnsi="Times New Roman" w:cs="仿宋_GB2312"/>
          <w:color w:val="auto"/>
          <w:sz w:val="32"/>
          <w:szCs w:val="32"/>
        </w:rPr>
        <w:t>核查证书或报告的，给予核查、认证及相关服务费用</w:t>
      </w:r>
      <w:r>
        <w:rPr>
          <w:rFonts w:hint="eastAsia" w:ascii="Times New Roman" w:hAnsi="Times New Roman" w:cs="仿宋_GB2312"/>
          <w:color w:val="auto"/>
          <w:sz w:val="32"/>
          <w:szCs w:val="32"/>
          <w:lang w:val="en-US" w:eastAsia="zh-CN"/>
        </w:rPr>
        <w:t>给予最高</w:t>
      </w:r>
      <w:r>
        <w:rPr>
          <w:rFonts w:hint="eastAsia" w:ascii="Times New Roman" w:hAnsi="Times New Roman" w:cs="仿宋_GB2312"/>
          <w:color w:val="auto"/>
          <w:sz w:val="32"/>
          <w:szCs w:val="32"/>
        </w:rPr>
        <w:t xml:space="preserve"> 50% 支持，</w:t>
      </w:r>
      <w:r>
        <w:rPr>
          <w:rFonts w:hint="eastAsia" w:ascii="Times New Roman" w:hAnsi="Times New Roman" w:cs="仿宋_GB2312"/>
          <w:color w:val="auto"/>
          <w:sz w:val="32"/>
          <w:szCs w:val="32"/>
          <w:lang w:val="en-US" w:eastAsia="zh-CN"/>
        </w:rPr>
        <w:t>经认定，</w:t>
      </w:r>
      <w:r>
        <w:rPr>
          <w:rFonts w:hint="eastAsia" w:ascii="Times New Roman" w:hAnsi="Times New Roman" w:cs="仿宋_GB2312"/>
          <w:color w:val="auto"/>
          <w:sz w:val="32"/>
          <w:szCs w:val="32"/>
        </w:rPr>
        <w:t>每</w:t>
      </w:r>
      <w:r>
        <w:rPr>
          <w:rFonts w:hint="eastAsia" w:ascii="Times New Roman" w:hAnsi="Times New Roman" w:cs="仿宋_GB2312"/>
          <w:color w:val="auto"/>
          <w:sz w:val="32"/>
          <w:szCs w:val="32"/>
          <w:lang w:val="en-US" w:eastAsia="zh-CN"/>
        </w:rPr>
        <w:t>家</w:t>
      </w:r>
      <w:r>
        <w:rPr>
          <w:rFonts w:hint="eastAsia" w:ascii="Times New Roman" w:hAnsi="Times New Roman" w:cs="仿宋_GB2312"/>
          <w:color w:val="auto"/>
          <w:sz w:val="32"/>
          <w:szCs w:val="32"/>
        </w:rPr>
        <w:t>企业每年不超过3万元。</w:t>
      </w:r>
    </w:p>
    <w:p w14:paraId="3B46CCAE">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cs="仿宋_GB2312"/>
          <w:color w:val="auto"/>
          <w:sz w:val="32"/>
          <w:szCs w:val="32"/>
        </w:rPr>
      </w:pPr>
      <w:r>
        <w:rPr>
          <w:rFonts w:hint="eastAsia" w:ascii="Times New Roman" w:hAnsi="Times New Roman" w:eastAsia="楷体_GB2312" w:cs="楷体_GB2312"/>
          <w:b/>
          <w:bCs/>
          <w:color w:val="auto"/>
          <w:sz w:val="32"/>
          <w:szCs w:val="32"/>
          <w:lang w:val="en-US" w:eastAsia="zh-CN"/>
        </w:rPr>
        <w:t>第九条</w:t>
      </w:r>
      <w:r>
        <w:rPr>
          <w:rFonts w:hint="eastAsia" w:ascii="Times New Roman" w:hAnsi="Times New Roman" w:cs="仿宋_GB2312"/>
          <w:color w:val="auto"/>
          <w:sz w:val="32"/>
          <w:szCs w:val="32"/>
          <w:lang w:val="en-US" w:eastAsia="zh-CN"/>
        </w:rPr>
        <w:t xml:space="preserve">  </w:t>
      </w:r>
      <w:r>
        <w:rPr>
          <w:rFonts w:hint="eastAsia" w:ascii="Times New Roman" w:hAnsi="Times New Roman" w:cs="仿宋_GB2312"/>
          <w:color w:val="auto"/>
          <w:sz w:val="32"/>
          <w:szCs w:val="32"/>
        </w:rPr>
        <w:t>鼓励企业实施</w:t>
      </w:r>
      <w:r>
        <w:rPr>
          <w:rFonts w:hint="eastAsia" w:ascii="Times New Roman" w:hAnsi="Times New Roman" w:cs="仿宋_GB2312"/>
          <w:color w:val="auto"/>
          <w:sz w:val="32"/>
          <w:szCs w:val="32"/>
          <w:lang w:val="en-US" w:eastAsia="zh-Hans"/>
        </w:rPr>
        <w:t>低碳工厂、零碳工厂建设、</w:t>
      </w:r>
      <w:r>
        <w:rPr>
          <w:rFonts w:hint="eastAsia" w:ascii="Times New Roman" w:hAnsi="Times New Roman" w:cs="仿宋_GB2312"/>
          <w:color w:val="auto"/>
          <w:sz w:val="32"/>
          <w:szCs w:val="32"/>
        </w:rPr>
        <w:t>改造项目，对</w:t>
      </w:r>
      <w:r>
        <w:rPr>
          <w:rFonts w:hint="eastAsia" w:ascii="Times New Roman" w:hAnsi="Times New Roman" w:cs="仿宋_GB2312"/>
          <w:color w:val="auto"/>
          <w:sz w:val="32"/>
          <w:szCs w:val="32"/>
          <w:lang w:val="en-US" w:eastAsia="zh-Hans"/>
        </w:rPr>
        <w:t>低碳工厂、零碳工厂</w:t>
      </w:r>
      <w:r>
        <w:rPr>
          <w:rFonts w:hint="eastAsia" w:ascii="Times New Roman" w:hAnsi="Times New Roman" w:cs="仿宋_GB2312"/>
          <w:color w:val="auto"/>
          <w:sz w:val="32"/>
          <w:szCs w:val="32"/>
        </w:rPr>
        <w:t>改造项目新增投资超5000万元的项目，高新区按项目执行情况</w:t>
      </w:r>
      <w:r>
        <w:rPr>
          <w:rFonts w:hint="eastAsia" w:ascii="Times New Roman" w:hAnsi="Times New Roman" w:cs="仿宋_GB2312"/>
          <w:color w:val="auto"/>
          <w:sz w:val="32"/>
          <w:szCs w:val="32"/>
          <w:lang w:val="en-US" w:eastAsia="zh-CN"/>
        </w:rPr>
        <w:t>给予最高</w:t>
      </w:r>
      <w:r>
        <w:rPr>
          <w:rFonts w:hint="default" w:ascii="Times New Roman" w:hAnsi="Times New Roman" w:cs="仿宋_GB2312"/>
          <w:color w:val="auto"/>
          <w:sz w:val="32"/>
          <w:szCs w:val="32"/>
        </w:rPr>
        <w:t>3</w:t>
      </w:r>
      <w:r>
        <w:rPr>
          <w:rFonts w:hint="eastAsia" w:ascii="Times New Roman" w:hAnsi="Times New Roman" w:cs="仿宋_GB2312"/>
          <w:color w:val="auto"/>
          <w:sz w:val="32"/>
          <w:szCs w:val="32"/>
        </w:rPr>
        <w:t>0％的贷款贴息奖励，</w:t>
      </w:r>
      <w:r>
        <w:rPr>
          <w:rFonts w:hint="eastAsia" w:ascii="Times New Roman" w:hAnsi="Times New Roman" w:cs="仿宋_GB2312"/>
          <w:color w:val="auto"/>
          <w:sz w:val="32"/>
          <w:szCs w:val="32"/>
          <w:lang w:val="en-US" w:eastAsia="zh-CN"/>
        </w:rPr>
        <w:t>经认定，</w:t>
      </w:r>
      <w:r>
        <w:rPr>
          <w:rFonts w:hint="eastAsia" w:ascii="Times New Roman" w:hAnsi="Times New Roman" w:cs="仿宋_GB2312"/>
          <w:color w:val="auto"/>
          <w:sz w:val="32"/>
          <w:szCs w:val="32"/>
        </w:rPr>
        <w:t>每家企业最多不超过</w:t>
      </w:r>
      <w:r>
        <w:rPr>
          <w:rFonts w:hint="default" w:ascii="Times New Roman" w:hAnsi="Times New Roman" w:cs="仿宋_GB2312"/>
          <w:color w:val="auto"/>
          <w:sz w:val="32"/>
          <w:szCs w:val="32"/>
        </w:rPr>
        <w:t>3</w:t>
      </w:r>
      <w:r>
        <w:rPr>
          <w:rFonts w:hint="eastAsia" w:ascii="Times New Roman" w:hAnsi="Times New Roman" w:cs="仿宋_GB2312"/>
          <w:color w:val="auto"/>
          <w:sz w:val="32"/>
          <w:szCs w:val="32"/>
        </w:rPr>
        <w:t>00万元。</w:t>
      </w:r>
    </w:p>
    <w:p w14:paraId="1A7DAAE1">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cs="仿宋_GB2312"/>
          <w:color w:val="auto"/>
          <w:sz w:val="32"/>
          <w:szCs w:val="32"/>
        </w:rPr>
      </w:pPr>
      <w:r>
        <w:rPr>
          <w:rFonts w:hint="eastAsia" w:ascii="Times New Roman" w:hAnsi="Times New Roman" w:eastAsia="楷体_GB2312" w:cs="楷体_GB2312"/>
          <w:b/>
          <w:bCs/>
          <w:color w:val="auto"/>
          <w:sz w:val="32"/>
          <w:szCs w:val="32"/>
          <w:lang w:val="en-US" w:eastAsia="zh-CN"/>
        </w:rPr>
        <w:t>第十条</w:t>
      </w:r>
      <w:r>
        <w:rPr>
          <w:rFonts w:hint="eastAsia" w:ascii="Times New Roman" w:hAnsi="Times New Roman" w:cs="仿宋_GB2312"/>
          <w:color w:val="auto"/>
          <w:sz w:val="32"/>
          <w:szCs w:val="32"/>
          <w:lang w:val="en-US" w:eastAsia="zh-CN"/>
        </w:rPr>
        <w:t xml:space="preserve">  在</w:t>
      </w:r>
      <w:r>
        <w:rPr>
          <w:rFonts w:hint="eastAsia" w:ascii="Times New Roman" w:hAnsi="Times New Roman" w:cs="仿宋_GB2312"/>
          <w:color w:val="auto"/>
          <w:sz w:val="32"/>
          <w:szCs w:val="32"/>
        </w:rPr>
        <w:t>新能源、新材料、新型电力</w:t>
      </w:r>
      <w:r>
        <w:rPr>
          <w:rFonts w:hint="eastAsia" w:ascii="Times New Roman" w:hAnsi="Times New Roman" w:cs="仿宋_GB2312"/>
          <w:color w:val="auto"/>
          <w:sz w:val="32"/>
          <w:szCs w:val="32"/>
          <w:lang w:val="en-US" w:eastAsia="zh-CN"/>
        </w:rPr>
        <w:t>领域，重点落实《国家锂电池产业标准体系建设指南》和《新型储能标准体系建设指南》，加强钠电池、固态电池、液流电池等新型储能技术标准布局，加快新型储能产品安全与循环寿命、配套关键材料与部件、生产设备、关键检测方法、绿色低碳、回收和综合利用等技术创新。</w:t>
      </w:r>
      <w:r>
        <w:rPr>
          <w:rFonts w:hint="eastAsia" w:ascii="Times New Roman" w:hAnsi="Times New Roman" w:cs="仿宋_GB2312"/>
          <w:color w:val="auto"/>
          <w:sz w:val="32"/>
          <w:szCs w:val="32"/>
        </w:rPr>
        <w:t>经</w:t>
      </w:r>
      <w:r>
        <w:rPr>
          <w:rFonts w:hint="eastAsia" w:ascii="Times New Roman" w:hAnsi="Times New Roman" w:cs="仿宋_GB2312"/>
          <w:color w:val="auto"/>
          <w:sz w:val="32"/>
          <w:szCs w:val="32"/>
          <w:lang w:val="en-US" w:eastAsia="zh-CN"/>
        </w:rPr>
        <w:t>新</w:t>
      </w:r>
      <w:r>
        <w:rPr>
          <w:rFonts w:hint="eastAsia" w:ascii="Times New Roman" w:hAnsi="Times New Roman" w:cs="仿宋_GB2312"/>
          <w:color w:val="auto"/>
          <w:sz w:val="32"/>
          <w:szCs w:val="32"/>
        </w:rPr>
        <w:t>认定为国家</w:t>
      </w:r>
      <w:r>
        <w:rPr>
          <w:rFonts w:hint="eastAsia" w:ascii="Times New Roman" w:hAnsi="Times New Roman" w:cs="仿宋_GB2312"/>
          <w:color w:val="auto"/>
          <w:sz w:val="32"/>
          <w:szCs w:val="32"/>
          <w:lang w:val="en-US" w:eastAsia="zh-CN"/>
        </w:rPr>
        <w:t>或</w:t>
      </w:r>
      <w:r>
        <w:rPr>
          <w:rFonts w:hint="eastAsia" w:ascii="Times New Roman" w:hAnsi="Times New Roman" w:cs="仿宋_GB2312"/>
          <w:color w:val="auto"/>
          <w:sz w:val="32"/>
          <w:szCs w:val="32"/>
        </w:rPr>
        <w:t>天津市级的重点实验室、工程实验室、技术创新中心</w:t>
      </w:r>
      <w:r>
        <w:rPr>
          <w:rFonts w:hint="eastAsia" w:ascii="Times New Roman" w:hAnsi="Times New Roman" w:cs="仿宋_GB2312"/>
          <w:color w:val="auto"/>
          <w:sz w:val="32"/>
          <w:szCs w:val="32"/>
          <w:lang w:eastAsia="zh-Hans"/>
        </w:rPr>
        <w:t>、</w:t>
      </w:r>
      <w:r>
        <w:rPr>
          <w:rFonts w:hint="eastAsia" w:ascii="Times New Roman" w:hAnsi="Times New Roman" w:cs="仿宋_GB2312"/>
          <w:color w:val="auto"/>
          <w:sz w:val="32"/>
          <w:szCs w:val="32"/>
        </w:rPr>
        <w:t>工程研究中心的企业，</w:t>
      </w:r>
      <w:r>
        <w:rPr>
          <w:rFonts w:hint="eastAsia" w:ascii="Times New Roman" w:hAnsi="Times New Roman" w:cs="仿宋_GB2312"/>
          <w:color w:val="auto"/>
          <w:sz w:val="32"/>
          <w:szCs w:val="32"/>
          <w:lang w:val="en-US" w:eastAsia="zh-Hans"/>
        </w:rPr>
        <w:t>获得国家级各类奖项、产品认定，以及列入国家各部委发布的</w:t>
      </w:r>
      <w:r>
        <w:rPr>
          <w:rFonts w:hint="eastAsia" w:ascii="Times New Roman" w:hAnsi="Times New Roman" w:cs="仿宋_GB2312"/>
          <w:color w:val="auto"/>
          <w:sz w:val="32"/>
          <w:szCs w:val="32"/>
          <w:lang w:val="en-US" w:eastAsia="zh-CN"/>
        </w:rPr>
        <w:t>国之重器、</w:t>
      </w:r>
      <w:r>
        <w:rPr>
          <w:rFonts w:hint="eastAsia" w:ascii="Times New Roman" w:hAnsi="Times New Roman" w:cs="仿宋_GB2312"/>
          <w:color w:val="auto"/>
          <w:sz w:val="32"/>
          <w:szCs w:val="32"/>
          <w:lang w:val="en-US" w:eastAsia="zh-Hans"/>
        </w:rPr>
        <w:t>制造业单项冠军</w:t>
      </w:r>
      <w:r>
        <w:rPr>
          <w:rFonts w:hint="eastAsia" w:ascii="Times New Roman" w:hAnsi="Times New Roman" w:cs="仿宋_GB2312"/>
          <w:color w:val="auto"/>
          <w:sz w:val="32"/>
          <w:szCs w:val="32"/>
          <w:lang w:val="en-US" w:eastAsia="zh-CN"/>
        </w:rPr>
        <w:t>、国家重点新产品、中央企业科技创新成果、</w:t>
      </w:r>
      <w:r>
        <w:rPr>
          <w:rFonts w:hint="eastAsia" w:ascii="Times New Roman" w:hAnsi="Times New Roman" w:cs="仿宋_GB2312"/>
          <w:color w:val="auto"/>
          <w:sz w:val="32"/>
          <w:szCs w:val="32"/>
          <w:lang w:val="en-US" w:eastAsia="zh-Hans"/>
        </w:rPr>
        <w:t>行业准入名单、揭榜挂帅名单的企业，</w:t>
      </w:r>
      <w:r>
        <w:rPr>
          <w:rFonts w:hint="eastAsia" w:ascii="Times New Roman" w:hAnsi="Times New Roman" w:cs="仿宋_GB2312"/>
          <w:color w:val="auto"/>
          <w:sz w:val="32"/>
          <w:szCs w:val="32"/>
          <w:lang w:val="en-US" w:eastAsia="zh-CN"/>
        </w:rPr>
        <w:t>经认定，对于获得国家级的</w:t>
      </w:r>
      <w:r>
        <w:rPr>
          <w:rFonts w:hint="eastAsia" w:ascii="Times New Roman" w:hAnsi="Times New Roman" w:cs="仿宋_GB2312"/>
          <w:color w:val="auto"/>
          <w:sz w:val="32"/>
          <w:szCs w:val="32"/>
        </w:rPr>
        <w:t>给予每家企业100万元的一次性资金支持</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lang w:val="en-US" w:eastAsia="zh-CN"/>
        </w:rPr>
        <w:t>对于获得天津市级的</w:t>
      </w:r>
      <w:r>
        <w:rPr>
          <w:rFonts w:hint="eastAsia" w:ascii="Times New Roman" w:hAnsi="Times New Roman" w:cs="仿宋_GB2312"/>
          <w:color w:val="auto"/>
          <w:sz w:val="32"/>
          <w:szCs w:val="32"/>
        </w:rPr>
        <w:t>给予每家企业</w:t>
      </w:r>
      <w:r>
        <w:rPr>
          <w:rFonts w:hint="eastAsia" w:ascii="Times New Roman" w:hAnsi="Times New Roman" w:cs="仿宋_GB2312"/>
          <w:color w:val="auto"/>
          <w:sz w:val="32"/>
          <w:szCs w:val="32"/>
          <w:lang w:val="en-US" w:eastAsia="zh-CN"/>
        </w:rPr>
        <w:t>5</w:t>
      </w:r>
      <w:r>
        <w:rPr>
          <w:rFonts w:hint="eastAsia" w:ascii="Times New Roman" w:hAnsi="Times New Roman" w:cs="仿宋_GB2312"/>
          <w:color w:val="auto"/>
          <w:sz w:val="32"/>
          <w:szCs w:val="32"/>
        </w:rPr>
        <w:t>0万元的一次性资金支持。</w:t>
      </w:r>
    </w:p>
    <w:p w14:paraId="3DC1305F">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color w:val="auto"/>
          <w:sz w:val="32"/>
          <w:szCs w:val="32"/>
          <w:highlight w:val="none"/>
        </w:rPr>
      </w:pPr>
      <w:r>
        <w:rPr>
          <w:rFonts w:hint="eastAsia" w:ascii="Times New Roman" w:hAnsi="Times New Roman" w:cs="仿宋_GB2312"/>
          <w:color w:val="auto"/>
          <w:sz w:val="32"/>
          <w:szCs w:val="32"/>
        </w:rPr>
        <w:t>列入《天津市首台（套）重大技术装备推广应用指导目录》（以天津市发布政策版本为依据）的首台套首批次首版次产品，</w:t>
      </w:r>
      <w:r>
        <w:rPr>
          <w:rFonts w:hint="eastAsia" w:ascii="Times New Roman" w:hAnsi="Times New Roman" w:cs="仿宋_GB2312"/>
          <w:color w:val="auto"/>
          <w:sz w:val="32"/>
          <w:szCs w:val="32"/>
          <w:lang w:val="en-US" w:eastAsia="zh-CN"/>
        </w:rPr>
        <w:t>经认定，</w:t>
      </w:r>
      <w:r>
        <w:rPr>
          <w:rFonts w:hint="eastAsia" w:ascii="Times New Roman" w:hAnsi="Times New Roman" w:cs="仿宋_GB2312"/>
          <w:color w:val="auto"/>
          <w:sz w:val="32"/>
          <w:szCs w:val="32"/>
        </w:rPr>
        <w:t>按产品个数给予每家企业最高不超过50万元奖励（单个认定产品10万元奖励，同一产品不同版本、规格、型号等不重复计数）。</w:t>
      </w:r>
    </w:p>
    <w:p w14:paraId="292D5CE9">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cs="仿宋_GB2312"/>
          <w:color w:val="auto"/>
          <w:sz w:val="32"/>
          <w:szCs w:val="32"/>
          <w:lang w:val="en-US" w:eastAsia="zh-Hans"/>
        </w:rPr>
      </w:pPr>
      <w:r>
        <w:rPr>
          <w:rFonts w:hint="eastAsia" w:ascii="Times New Roman" w:hAnsi="Times New Roman" w:eastAsia="楷体_GB2312" w:cs="楷体_GB2312"/>
          <w:b/>
          <w:bCs/>
          <w:color w:val="auto"/>
          <w:sz w:val="32"/>
          <w:szCs w:val="32"/>
          <w:lang w:val="en-US" w:eastAsia="zh-CN"/>
        </w:rPr>
        <w:t>第十一条</w:t>
      </w:r>
      <w:r>
        <w:rPr>
          <w:rFonts w:hint="eastAsia" w:ascii="Times New Roman" w:hAnsi="Times New Roman" w:cs="仿宋_GB2312"/>
          <w:color w:val="auto"/>
          <w:sz w:val="32"/>
          <w:szCs w:val="32"/>
          <w:lang w:val="en-US" w:eastAsia="zh-CN"/>
        </w:rPr>
        <w:t xml:space="preserve">  </w:t>
      </w:r>
      <w:r>
        <w:rPr>
          <w:rFonts w:hint="eastAsia" w:ascii="Times New Roman" w:hAnsi="Times New Roman" w:cs="仿宋_GB2312"/>
          <w:color w:val="auto"/>
          <w:sz w:val="32"/>
          <w:szCs w:val="32"/>
          <w:lang w:val="en-US" w:eastAsia="zh-Hans"/>
        </w:rPr>
        <w:t>附则</w:t>
      </w:r>
    </w:p>
    <w:p w14:paraId="6F266A1B">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rPr>
        <w:t>本办法由</w:t>
      </w:r>
      <w:r>
        <w:rPr>
          <w:rFonts w:hint="eastAsia" w:ascii="Times New Roman" w:hAnsi="Times New Roman" w:cs="仿宋_GB2312"/>
          <w:color w:val="auto"/>
          <w:sz w:val="32"/>
          <w:szCs w:val="32"/>
          <w:lang w:val="en-US" w:eastAsia="zh-CN"/>
        </w:rPr>
        <w:t>天津</w:t>
      </w:r>
      <w:r>
        <w:rPr>
          <w:rFonts w:hint="eastAsia" w:ascii="Times New Roman" w:hAnsi="Times New Roman" w:cs="仿宋_GB2312"/>
          <w:color w:val="auto"/>
          <w:sz w:val="32"/>
          <w:szCs w:val="32"/>
        </w:rPr>
        <w:t>滨海高新区管委会负责解释</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rPr>
        <w:t>本办法自印发之日起实施，有效期截止至202</w:t>
      </w:r>
      <w:r>
        <w:rPr>
          <w:rFonts w:hint="eastAsia" w:ascii="Times New Roman" w:hAnsi="Times New Roman" w:cs="仿宋_GB2312"/>
          <w:color w:val="auto"/>
          <w:sz w:val="32"/>
          <w:szCs w:val="32"/>
          <w:lang w:val="en-US" w:eastAsia="zh-CN"/>
        </w:rPr>
        <w:t>8年</w:t>
      </w:r>
      <w:r>
        <w:rPr>
          <w:rFonts w:hint="eastAsia" w:ascii="Times New Roman" w:hAnsi="Times New Roman" w:cs="仿宋_GB2312"/>
          <w:color w:val="auto"/>
          <w:sz w:val="32"/>
          <w:szCs w:val="32"/>
        </w:rPr>
        <w:t>12月31日，申报期延后一年。自本办法实施日起，原《天津滨海高新区促进新能源产业高质量发展办法（暂行）》及实施细则同步废止。</w:t>
      </w:r>
    </w:p>
    <w:p w14:paraId="40EA18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rPr>
      </w:pPr>
    </w:p>
    <w:sectPr>
      <w:footerReference r:id="rId5" w:type="default"/>
      <w:pgSz w:w="11906" w:h="16838"/>
      <w:pgMar w:top="2098" w:right="1474" w:bottom="1984" w:left="1587" w:header="851" w:footer="992" w:gutter="0"/>
      <w:pgNumType w:fmt="decimal" w:start="1"/>
      <w:cols w:space="425" w:num="1"/>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2BF1F9-D526-421F-B655-B4610379B0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84B88E5-7044-420C-B2AD-0042CE95CA83}"/>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D8C125E6-2E2B-49DA-A191-92A8BB2A7D75}"/>
  </w:font>
  <w:font w:name="文星标宋">
    <w:panose1 w:val="02010609000101010101"/>
    <w:charset w:val="86"/>
    <w:family w:val="auto"/>
    <w:pitch w:val="default"/>
    <w:sig w:usb0="00000001" w:usb1="080E0000" w:usb2="00000000" w:usb3="00000000" w:csb0="00040000" w:csb1="00000000"/>
    <w:embedRegular r:id="rId4" w:fontKey="{5B0403E8-17BD-4506-88FF-53BFBCEE1408}"/>
  </w:font>
  <w:font w:name="楷体_GB2312">
    <w:panose1 w:val="02010609030101010101"/>
    <w:charset w:val="86"/>
    <w:family w:val="auto"/>
    <w:pitch w:val="default"/>
    <w:sig w:usb0="00000001" w:usb1="080E0000" w:usb2="00000000" w:usb3="00000000" w:csb0="00040000" w:csb1="00000000"/>
    <w:embedRegular r:id="rId5" w:fontKey="{7D42D76D-159C-44E9-90FC-BA03D1638B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AF9B">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029E9">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F029E9">
                    <w:pPr>
                      <w:pStyle w:val="11"/>
                    </w:pPr>
                  </w:p>
                </w:txbxContent>
              </v:textbox>
            </v:shape>
          </w:pict>
        </mc:Fallback>
      </mc:AlternateContent>
    </w:r>
  </w:p>
  <w:p w14:paraId="53943566">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70"/>
  <w:drawingGridVerticalSpacing w:val="231"/>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zA1NzM3OGRhM2Q2NGVjN2ZlZGI5ZTUxZTliN2EifQ=="/>
  </w:docVars>
  <w:rsids>
    <w:rsidRoot w:val="62310560"/>
    <w:rsid w:val="00003743"/>
    <w:rsid w:val="00003C33"/>
    <w:rsid w:val="00005B8B"/>
    <w:rsid w:val="00005E7C"/>
    <w:rsid w:val="00007E4F"/>
    <w:rsid w:val="00007ED4"/>
    <w:rsid w:val="000108E9"/>
    <w:rsid w:val="00012998"/>
    <w:rsid w:val="0001576F"/>
    <w:rsid w:val="000161E6"/>
    <w:rsid w:val="00016D5B"/>
    <w:rsid w:val="000218CC"/>
    <w:rsid w:val="00022725"/>
    <w:rsid w:val="0002284D"/>
    <w:rsid w:val="00023264"/>
    <w:rsid w:val="00025161"/>
    <w:rsid w:val="000265CB"/>
    <w:rsid w:val="000320C2"/>
    <w:rsid w:val="000330EB"/>
    <w:rsid w:val="0003684C"/>
    <w:rsid w:val="00040DF9"/>
    <w:rsid w:val="00041CEA"/>
    <w:rsid w:val="00043C7A"/>
    <w:rsid w:val="00046141"/>
    <w:rsid w:val="00046A65"/>
    <w:rsid w:val="00046BD4"/>
    <w:rsid w:val="00047431"/>
    <w:rsid w:val="00051071"/>
    <w:rsid w:val="00052B28"/>
    <w:rsid w:val="0006163F"/>
    <w:rsid w:val="000617AD"/>
    <w:rsid w:val="000617E5"/>
    <w:rsid w:val="00063FD7"/>
    <w:rsid w:val="00065703"/>
    <w:rsid w:val="00066552"/>
    <w:rsid w:val="0007013B"/>
    <w:rsid w:val="0007159A"/>
    <w:rsid w:val="0007377D"/>
    <w:rsid w:val="000777A8"/>
    <w:rsid w:val="000812BF"/>
    <w:rsid w:val="000817D9"/>
    <w:rsid w:val="00081AEC"/>
    <w:rsid w:val="00082482"/>
    <w:rsid w:val="000829A0"/>
    <w:rsid w:val="00084370"/>
    <w:rsid w:val="00084EFC"/>
    <w:rsid w:val="000853BF"/>
    <w:rsid w:val="000857A0"/>
    <w:rsid w:val="00090D56"/>
    <w:rsid w:val="000926C9"/>
    <w:rsid w:val="00094A80"/>
    <w:rsid w:val="000953DA"/>
    <w:rsid w:val="00095407"/>
    <w:rsid w:val="00096B5E"/>
    <w:rsid w:val="00096C2B"/>
    <w:rsid w:val="000A4396"/>
    <w:rsid w:val="000A5019"/>
    <w:rsid w:val="000A548C"/>
    <w:rsid w:val="000B0164"/>
    <w:rsid w:val="000B0693"/>
    <w:rsid w:val="000B20EE"/>
    <w:rsid w:val="000B3E8B"/>
    <w:rsid w:val="000C171D"/>
    <w:rsid w:val="000C19E6"/>
    <w:rsid w:val="000C3E1B"/>
    <w:rsid w:val="000D04E7"/>
    <w:rsid w:val="000D0CE1"/>
    <w:rsid w:val="000D0F05"/>
    <w:rsid w:val="000D5C4D"/>
    <w:rsid w:val="000E05FB"/>
    <w:rsid w:val="000E2DFD"/>
    <w:rsid w:val="000E6A93"/>
    <w:rsid w:val="000E6BFF"/>
    <w:rsid w:val="000F7FC4"/>
    <w:rsid w:val="00100452"/>
    <w:rsid w:val="00105457"/>
    <w:rsid w:val="00107BDB"/>
    <w:rsid w:val="00112FB9"/>
    <w:rsid w:val="00116DFC"/>
    <w:rsid w:val="0011707B"/>
    <w:rsid w:val="00117A03"/>
    <w:rsid w:val="001207C4"/>
    <w:rsid w:val="00120928"/>
    <w:rsid w:val="00124076"/>
    <w:rsid w:val="0013162C"/>
    <w:rsid w:val="0013322C"/>
    <w:rsid w:val="001412E0"/>
    <w:rsid w:val="001419D3"/>
    <w:rsid w:val="00143A9B"/>
    <w:rsid w:val="0015086E"/>
    <w:rsid w:val="001511D5"/>
    <w:rsid w:val="0015142A"/>
    <w:rsid w:val="0015250D"/>
    <w:rsid w:val="0015446C"/>
    <w:rsid w:val="00154B82"/>
    <w:rsid w:val="001602F6"/>
    <w:rsid w:val="001622A4"/>
    <w:rsid w:val="001624CC"/>
    <w:rsid w:val="00162E63"/>
    <w:rsid w:val="001673C9"/>
    <w:rsid w:val="001710D5"/>
    <w:rsid w:val="0017349E"/>
    <w:rsid w:val="0018160B"/>
    <w:rsid w:val="0018546F"/>
    <w:rsid w:val="0018634E"/>
    <w:rsid w:val="00186A85"/>
    <w:rsid w:val="001907C2"/>
    <w:rsid w:val="00190E37"/>
    <w:rsid w:val="001937AF"/>
    <w:rsid w:val="0019436D"/>
    <w:rsid w:val="00196419"/>
    <w:rsid w:val="00197D95"/>
    <w:rsid w:val="001A1078"/>
    <w:rsid w:val="001A7AC5"/>
    <w:rsid w:val="001B0838"/>
    <w:rsid w:val="001B1E47"/>
    <w:rsid w:val="001C2561"/>
    <w:rsid w:val="001C2A0F"/>
    <w:rsid w:val="001C5FBB"/>
    <w:rsid w:val="001D7C11"/>
    <w:rsid w:val="001E0673"/>
    <w:rsid w:val="001E1440"/>
    <w:rsid w:val="001E265B"/>
    <w:rsid w:val="001E3395"/>
    <w:rsid w:val="001E61D2"/>
    <w:rsid w:val="001F0039"/>
    <w:rsid w:val="001F2A90"/>
    <w:rsid w:val="001F6463"/>
    <w:rsid w:val="001F6735"/>
    <w:rsid w:val="00200432"/>
    <w:rsid w:val="002024FB"/>
    <w:rsid w:val="00207574"/>
    <w:rsid w:val="00210B2C"/>
    <w:rsid w:val="002138DD"/>
    <w:rsid w:val="002151E2"/>
    <w:rsid w:val="00215EB0"/>
    <w:rsid w:val="002201A2"/>
    <w:rsid w:val="002213B2"/>
    <w:rsid w:val="00221E80"/>
    <w:rsid w:val="00222809"/>
    <w:rsid w:val="00222FE8"/>
    <w:rsid w:val="0022411E"/>
    <w:rsid w:val="00225855"/>
    <w:rsid w:val="00225F08"/>
    <w:rsid w:val="00232CA1"/>
    <w:rsid w:val="002330D5"/>
    <w:rsid w:val="002368B8"/>
    <w:rsid w:val="002438F3"/>
    <w:rsid w:val="0024467B"/>
    <w:rsid w:val="00244C36"/>
    <w:rsid w:val="0024656B"/>
    <w:rsid w:val="00247186"/>
    <w:rsid w:val="00252ED1"/>
    <w:rsid w:val="00255EE5"/>
    <w:rsid w:val="002564E9"/>
    <w:rsid w:val="00257441"/>
    <w:rsid w:val="002602F5"/>
    <w:rsid w:val="00261A09"/>
    <w:rsid w:val="002632D7"/>
    <w:rsid w:val="0026520A"/>
    <w:rsid w:val="00265D63"/>
    <w:rsid w:val="00270990"/>
    <w:rsid w:val="002723CB"/>
    <w:rsid w:val="00272736"/>
    <w:rsid w:val="00275468"/>
    <w:rsid w:val="00275CB0"/>
    <w:rsid w:val="002770E1"/>
    <w:rsid w:val="002770EA"/>
    <w:rsid w:val="002801F8"/>
    <w:rsid w:val="002805E0"/>
    <w:rsid w:val="00280FAF"/>
    <w:rsid w:val="0028581A"/>
    <w:rsid w:val="0028613C"/>
    <w:rsid w:val="0028719A"/>
    <w:rsid w:val="00287453"/>
    <w:rsid w:val="002939B6"/>
    <w:rsid w:val="002969D8"/>
    <w:rsid w:val="00296DF1"/>
    <w:rsid w:val="002A04D4"/>
    <w:rsid w:val="002A1E30"/>
    <w:rsid w:val="002A22B2"/>
    <w:rsid w:val="002A300C"/>
    <w:rsid w:val="002A39FD"/>
    <w:rsid w:val="002A779B"/>
    <w:rsid w:val="002A7DF0"/>
    <w:rsid w:val="002B209C"/>
    <w:rsid w:val="002B2B20"/>
    <w:rsid w:val="002B2B9D"/>
    <w:rsid w:val="002B45D6"/>
    <w:rsid w:val="002B53D6"/>
    <w:rsid w:val="002B60FF"/>
    <w:rsid w:val="002B7BDD"/>
    <w:rsid w:val="002C1E03"/>
    <w:rsid w:val="002C3552"/>
    <w:rsid w:val="002C5051"/>
    <w:rsid w:val="002C6A90"/>
    <w:rsid w:val="002C7620"/>
    <w:rsid w:val="002D2375"/>
    <w:rsid w:val="002D303A"/>
    <w:rsid w:val="002D4BDE"/>
    <w:rsid w:val="002D5C44"/>
    <w:rsid w:val="002E00C0"/>
    <w:rsid w:val="002E025B"/>
    <w:rsid w:val="002E1452"/>
    <w:rsid w:val="002E1E34"/>
    <w:rsid w:val="002E2499"/>
    <w:rsid w:val="002E3769"/>
    <w:rsid w:val="002E651E"/>
    <w:rsid w:val="002E6B1C"/>
    <w:rsid w:val="002E7935"/>
    <w:rsid w:val="002F3834"/>
    <w:rsid w:val="002F5F0D"/>
    <w:rsid w:val="002F79D9"/>
    <w:rsid w:val="00300397"/>
    <w:rsid w:val="00311F68"/>
    <w:rsid w:val="00312494"/>
    <w:rsid w:val="00315CA8"/>
    <w:rsid w:val="00315CD1"/>
    <w:rsid w:val="00317701"/>
    <w:rsid w:val="00317E5E"/>
    <w:rsid w:val="0032116F"/>
    <w:rsid w:val="00321DDB"/>
    <w:rsid w:val="00326640"/>
    <w:rsid w:val="00326D00"/>
    <w:rsid w:val="003320FF"/>
    <w:rsid w:val="00332347"/>
    <w:rsid w:val="00332386"/>
    <w:rsid w:val="00334165"/>
    <w:rsid w:val="003361F1"/>
    <w:rsid w:val="003362F4"/>
    <w:rsid w:val="00337728"/>
    <w:rsid w:val="0034181F"/>
    <w:rsid w:val="0034198C"/>
    <w:rsid w:val="00341F0D"/>
    <w:rsid w:val="00343E39"/>
    <w:rsid w:val="003447C4"/>
    <w:rsid w:val="0034483F"/>
    <w:rsid w:val="00344B20"/>
    <w:rsid w:val="00345BF9"/>
    <w:rsid w:val="0034657D"/>
    <w:rsid w:val="00351E71"/>
    <w:rsid w:val="00351F9C"/>
    <w:rsid w:val="00352AAF"/>
    <w:rsid w:val="003534A5"/>
    <w:rsid w:val="00354478"/>
    <w:rsid w:val="0035738C"/>
    <w:rsid w:val="003626D5"/>
    <w:rsid w:val="00363A86"/>
    <w:rsid w:val="00365653"/>
    <w:rsid w:val="00365D7E"/>
    <w:rsid w:val="00366E11"/>
    <w:rsid w:val="00371D96"/>
    <w:rsid w:val="00376F6F"/>
    <w:rsid w:val="003842DB"/>
    <w:rsid w:val="003844DC"/>
    <w:rsid w:val="003862E2"/>
    <w:rsid w:val="003871E1"/>
    <w:rsid w:val="00392875"/>
    <w:rsid w:val="00393DB4"/>
    <w:rsid w:val="00393FF5"/>
    <w:rsid w:val="003A6B3F"/>
    <w:rsid w:val="003A762F"/>
    <w:rsid w:val="003B23E9"/>
    <w:rsid w:val="003B3779"/>
    <w:rsid w:val="003B4EDE"/>
    <w:rsid w:val="003B7B23"/>
    <w:rsid w:val="003C096E"/>
    <w:rsid w:val="003C1463"/>
    <w:rsid w:val="003C52A9"/>
    <w:rsid w:val="003C7A8A"/>
    <w:rsid w:val="003D0A37"/>
    <w:rsid w:val="003D4DAD"/>
    <w:rsid w:val="003D6A97"/>
    <w:rsid w:val="003D6EC4"/>
    <w:rsid w:val="003D7914"/>
    <w:rsid w:val="003D7A25"/>
    <w:rsid w:val="003E00F0"/>
    <w:rsid w:val="003E099C"/>
    <w:rsid w:val="003E0BCD"/>
    <w:rsid w:val="003E1933"/>
    <w:rsid w:val="003E321F"/>
    <w:rsid w:val="003E6098"/>
    <w:rsid w:val="003F084C"/>
    <w:rsid w:val="003F089C"/>
    <w:rsid w:val="003F2312"/>
    <w:rsid w:val="003F494F"/>
    <w:rsid w:val="003F59B9"/>
    <w:rsid w:val="003F6159"/>
    <w:rsid w:val="003F6B94"/>
    <w:rsid w:val="003F6CCF"/>
    <w:rsid w:val="003F7A59"/>
    <w:rsid w:val="0040012E"/>
    <w:rsid w:val="0040020B"/>
    <w:rsid w:val="004028A2"/>
    <w:rsid w:val="00404995"/>
    <w:rsid w:val="00404A5B"/>
    <w:rsid w:val="00411704"/>
    <w:rsid w:val="004145C6"/>
    <w:rsid w:val="00414AE3"/>
    <w:rsid w:val="00417BF3"/>
    <w:rsid w:val="00421A0A"/>
    <w:rsid w:val="00422976"/>
    <w:rsid w:val="00424B84"/>
    <w:rsid w:val="004251BF"/>
    <w:rsid w:val="00425F82"/>
    <w:rsid w:val="00430262"/>
    <w:rsid w:val="004305C9"/>
    <w:rsid w:val="004333A0"/>
    <w:rsid w:val="004368EA"/>
    <w:rsid w:val="00436FE7"/>
    <w:rsid w:val="0044079C"/>
    <w:rsid w:val="00443A3B"/>
    <w:rsid w:val="00446C81"/>
    <w:rsid w:val="00451F41"/>
    <w:rsid w:val="0045467B"/>
    <w:rsid w:val="00455283"/>
    <w:rsid w:val="0045638E"/>
    <w:rsid w:val="00456AE7"/>
    <w:rsid w:val="0045716B"/>
    <w:rsid w:val="00461630"/>
    <w:rsid w:val="00464459"/>
    <w:rsid w:val="00465773"/>
    <w:rsid w:val="00465E8A"/>
    <w:rsid w:val="00466113"/>
    <w:rsid w:val="004675CD"/>
    <w:rsid w:val="004726B1"/>
    <w:rsid w:val="00475689"/>
    <w:rsid w:val="00476B4B"/>
    <w:rsid w:val="0048064C"/>
    <w:rsid w:val="004808F6"/>
    <w:rsid w:val="00481DEA"/>
    <w:rsid w:val="004848D7"/>
    <w:rsid w:val="0048581F"/>
    <w:rsid w:val="0048618A"/>
    <w:rsid w:val="004862A4"/>
    <w:rsid w:val="004A11B8"/>
    <w:rsid w:val="004A3AE4"/>
    <w:rsid w:val="004A6775"/>
    <w:rsid w:val="004A7710"/>
    <w:rsid w:val="004A7BDA"/>
    <w:rsid w:val="004B0D74"/>
    <w:rsid w:val="004B1942"/>
    <w:rsid w:val="004B254E"/>
    <w:rsid w:val="004B34FE"/>
    <w:rsid w:val="004B5B99"/>
    <w:rsid w:val="004B678F"/>
    <w:rsid w:val="004C15D0"/>
    <w:rsid w:val="004C2FC5"/>
    <w:rsid w:val="004C3C23"/>
    <w:rsid w:val="004C4124"/>
    <w:rsid w:val="004C5056"/>
    <w:rsid w:val="004D3786"/>
    <w:rsid w:val="004D4B86"/>
    <w:rsid w:val="004D4F30"/>
    <w:rsid w:val="004D555B"/>
    <w:rsid w:val="004D5726"/>
    <w:rsid w:val="004D6AB2"/>
    <w:rsid w:val="004D743E"/>
    <w:rsid w:val="004E055D"/>
    <w:rsid w:val="004E39AE"/>
    <w:rsid w:val="004E457C"/>
    <w:rsid w:val="004F18B6"/>
    <w:rsid w:val="004F5665"/>
    <w:rsid w:val="005001C3"/>
    <w:rsid w:val="00500D57"/>
    <w:rsid w:val="005010C1"/>
    <w:rsid w:val="00503B78"/>
    <w:rsid w:val="00504922"/>
    <w:rsid w:val="00504CD7"/>
    <w:rsid w:val="005109B0"/>
    <w:rsid w:val="0051214C"/>
    <w:rsid w:val="00515628"/>
    <w:rsid w:val="00517175"/>
    <w:rsid w:val="00520A27"/>
    <w:rsid w:val="00522061"/>
    <w:rsid w:val="00523E94"/>
    <w:rsid w:val="00524217"/>
    <w:rsid w:val="00524B78"/>
    <w:rsid w:val="00524FB4"/>
    <w:rsid w:val="005306ED"/>
    <w:rsid w:val="00531E6F"/>
    <w:rsid w:val="0053381D"/>
    <w:rsid w:val="00535DBF"/>
    <w:rsid w:val="00535F6D"/>
    <w:rsid w:val="00537B1E"/>
    <w:rsid w:val="00542E26"/>
    <w:rsid w:val="005474C1"/>
    <w:rsid w:val="00552B4D"/>
    <w:rsid w:val="00554089"/>
    <w:rsid w:val="005565AC"/>
    <w:rsid w:val="0056074A"/>
    <w:rsid w:val="0056462D"/>
    <w:rsid w:val="0056708A"/>
    <w:rsid w:val="0056712B"/>
    <w:rsid w:val="005711FA"/>
    <w:rsid w:val="00576728"/>
    <w:rsid w:val="0058040D"/>
    <w:rsid w:val="0058052B"/>
    <w:rsid w:val="005809CA"/>
    <w:rsid w:val="00581541"/>
    <w:rsid w:val="00581F59"/>
    <w:rsid w:val="005835BA"/>
    <w:rsid w:val="00585635"/>
    <w:rsid w:val="00585D1D"/>
    <w:rsid w:val="00590164"/>
    <w:rsid w:val="005908F8"/>
    <w:rsid w:val="005914B3"/>
    <w:rsid w:val="005927C9"/>
    <w:rsid w:val="005945F8"/>
    <w:rsid w:val="0059495E"/>
    <w:rsid w:val="00594A83"/>
    <w:rsid w:val="005A01AD"/>
    <w:rsid w:val="005A2749"/>
    <w:rsid w:val="005A300A"/>
    <w:rsid w:val="005A3D36"/>
    <w:rsid w:val="005A63F3"/>
    <w:rsid w:val="005A7DDA"/>
    <w:rsid w:val="005B2757"/>
    <w:rsid w:val="005B3526"/>
    <w:rsid w:val="005B5049"/>
    <w:rsid w:val="005B6F1B"/>
    <w:rsid w:val="005B70C7"/>
    <w:rsid w:val="005C1C33"/>
    <w:rsid w:val="005C2D19"/>
    <w:rsid w:val="005C507C"/>
    <w:rsid w:val="005C5931"/>
    <w:rsid w:val="005C6649"/>
    <w:rsid w:val="005C780F"/>
    <w:rsid w:val="005C7AC0"/>
    <w:rsid w:val="005D0C53"/>
    <w:rsid w:val="005D10A4"/>
    <w:rsid w:val="005D5109"/>
    <w:rsid w:val="005D5D07"/>
    <w:rsid w:val="005E2604"/>
    <w:rsid w:val="005E3613"/>
    <w:rsid w:val="005E3CDC"/>
    <w:rsid w:val="005E4CD6"/>
    <w:rsid w:val="005E5A7D"/>
    <w:rsid w:val="005F21E4"/>
    <w:rsid w:val="005F2418"/>
    <w:rsid w:val="005F700F"/>
    <w:rsid w:val="00601F9C"/>
    <w:rsid w:val="00602178"/>
    <w:rsid w:val="00610CB8"/>
    <w:rsid w:val="00612179"/>
    <w:rsid w:val="0061287F"/>
    <w:rsid w:val="0061418A"/>
    <w:rsid w:val="006148F3"/>
    <w:rsid w:val="00614C1C"/>
    <w:rsid w:val="00615D71"/>
    <w:rsid w:val="006175D9"/>
    <w:rsid w:val="00621532"/>
    <w:rsid w:val="00623E01"/>
    <w:rsid w:val="006241B2"/>
    <w:rsid w:val="00625C4A"/>
    <w:rsid w:val="00626435"/>
    <w:rsid w:val="006307E5"/>
    <w:rsid w:val="00631774"/>
    <w:rsid w:val="006342B4"/>
    <w:rsid w:val="00634951"/>
    <w:rsid w:val="006453BF"/>
    <w:rsid w:val="00650AC0"/>
    <w:rsid w:val="00654F88"/>
    <w:rsid w:val="006551D5"/>
    <w:rsid w:val="00670964"/>
    <w:rsid w:val="006717BC"/>
    <w:rsid w:val="006729B4"/>
    <w:rsid w:val="00675366"/>
    <w:rsid w:val="00676784"/>
    <w:rsid w:val="00677E88"/>
    <w:rsid w:val="00680B89"/>
    <w:rsid w:val="006835D9"/>
    <w:rsid w:val="00685334"/>
    <w:rsid w:val="0068687A"/>
    <w:rsid w:val="00691865"/>
    <w:rsid w:val="00692E09"/>
    <w:rsid w:val="00693B82"/>
    <w:rsid w:val="0069416F"/>
    <w:rsid w:val="00695DA5"/>
    <w:rsid w:val="006A0CB6"/>
    <w:rsid w:val="006A2C35"/>
    <w:rsid w:val="006A4489"/>
    <w:rsid w:val="006A4F9B"/>
    <w:rsid w:val="006A5B35"/>
    <w:rsid w:val="006A7A00"/>
    <w:rsid w:val="006B1A92"/>
    <w:rsid w:val="006B40A3"/>
    <w:rsid w:val="006B581A"/>
    <w:rsid w:val="006B76B1"/>
    <w:rsid w:val="006C0246"/>
    <w:rsid w:val="006C10D3"/>
    <w:rsid w:val="006C1482"/>
    <w:rsid w:val="006C3B02"/>
    <w:rsid w:val="006C6A13"/>
    <w:rsid w:val="006D30E2"/>
    <w:rsid w:val="006D316F"/>
    <w:rsid w:val="006D7E5C"/>
    <w:rsid w:val="006E17A7"/>
    <w:rsid w:val="006E4DCE"/>
    <w:rsid w:val="006E4F0B"/>
    <w:rsid w:val="006E5C63"/>
    <w:rsid w:val="006E7960"/>
    <w:rsid w:val="006F12CA"/>
    <w:rsid w:val="006F1C40"/>
    <w:rsid w:val="006F2620"/>
    <w:rsid w:val="006F4880"/>
    <w:rsid w:val="006F5033"/>
    <w:rsid w:val="006F52AA"/>
    <w:rsid w:val="006F5585"/>
    <w:rsid w:val="006F7AB5"/>
    <w:rsid w:val="0070296B"/>
    <w:rsid w:val="007034CE"/>
    <w:rsid w:val="00704385"/>
    <w:rsid w:val="00704439"/>
    <w:rsid w:val="007058FD"/>
    <w:rsid w:val="007104A6"/>
    <w:rsid w:val="00711191"/>
    <w:rsid w:val="007123DA"/>
    <w:rsid w:val="00712494"/>
    <w:rsid w:val="00714723"/>
    <w:rsid w:val="00715052"/>
    <w:rsid w:val="0071535A"/>
    <w:rsid w:val="00715D8F"/>
    <w:rsid w:val="00724960"/>
    <w:rsid w:val="00726178"/>
    <w:rsid w:val="00726250"/>
    <w:rsid w:val="0073070C"/>
    <w:rsid w:val="00730F0C"/>
    <w:rsid w:val="00733CB1"/>
    <w:rsid w:val="007344D9"/>
    <w:rsid w:val="0073453C"/>
    <w:rsid w:val="0073648A"/>
    <w:rsid w:val="00736A86"/>
    <w:rsid w:val="007403A4"/>
    <w:rsid w:val="007414A3"/>
    <w:rsid w:val="00741DA2"/>
    <w:rsid w:val="00744DE3"/>
    <w:rsid w:val="007470A7"/>
    <w:rsid w:val="00747118"/>
    <w:rsid w:val="007527EC"/>
    <w:rsid w:val="00753EDA"/>
    <w:rsid w:val="00757C52"/>
    <w:rsid w:val="00761F72"/>
    <w:rsid w:val="0076418D"/>
    <w:rsid w:val="007700E1"/>
    <w:rsid w:val="00773BDB"/>
    <w:rsid w:val="00775750"/>
    <w:rsid w:val="00777844"/>
    <w:rsid w:val="00777D89"/>
    <w:rsid w:val="00781A2E"/>
    <w:rsid w:val="00781CAE"/>
    <w:rsid w:val="00783762"/>
    <w:rsid w:val="00784E0A"/>
    <w:rsid w:val="00786DA3"/>
    <w:rsid w:val="00787ABF"/>
    <w:rsid w:val="00791254"/>
    <w:rsid w:val="00791A03"/>
    <w:rsid w:val="00793443"/>
    <w:rsid w:val="007A1F15"/>
    <w:rsid w:val="007A2AAA"/>
    <w:rsid w:val="007A2FF1"/>
    <w:rsid w:val="007A4867"/>
    <w:rsid w:val="007A5A7A"/>
    <w:rsid w:val="007A5B7F"/>
    <w:rsid w:val="007A70AB"/>
    <w:rsid w:val="007A79FE"/>
    <w:rsid w:val="007B0634"/>
    <w:rsid w:val="007B1A27"/>
    <w:rsid w:val="007B2809"/>
    <w:rsid w:val="007B46DD"/>
    <w:rsid w:val="007B4B89"/>
    <w:rsid w:val="007B76A7"/>
    <w:rsid w:val="007C341B"/>
    <w:rsid w:val="007C41A5"/>
    <w:rsid w:val="007C4750"/>
    <w:rsid w:val="007C5613"/>
    <w:rsid w:val="007C77FB"/>
    <w:rsid w:val="007D1038"/>
    <w:rsid w:val="007D2785"/>
    <w:rsid w:val="007D2BFD"/>
    <w:rsid w:val="007D5EDA"/>
    <w:rsid w:val="007D7AFF"/>
    <w:rsid w:val="007E1302"/>
    <w:rsid w:val="007F0805"/>
    <w:rsid w:val="007F0C08"/>
    <w:rsid w:val="007F19B2"/>
    <w:rsid w:val="007F4185"/>
    <w:rsid w:val="007F42DF"/>
    <w:rsid w:val="007F445A"/>
    <w:rsid w:val="007F44F0"/>
    <w:rsid w:val="007F6166"/>
    <w:rsid w:val="007F644F"/>
    <w:rsid w:val="007F68A5"/>
    <w:rsid w:val="00800311"/>
    <w:rsid w:val="00800EEB"/>
    <w:rsid w:val="00801F42"/>
    <w:rsid w:val="0080380E"/>
    <w:rsid w:val="00816CE4"/>
    <w:rsid w:val="00817369"/>
    <w:rsid w:val="008210B1"/>
    <w:rsid w:val="0082117A"/>
    <w:rsid w:val="00821577"/>
    <w:rsid w:val="00821E84"/>
    <w:rsid w:val="00827181"/>
    <w:rsid w:val="00831E15"/>
    <w:rsid w:val="00834416"/>
    <w:rsid w:val="008352A7"/>
    <w:rsid w:val="0083544E"/>
    <w:rsid w:val="0084185D"/>
    <w:rsid w:val="0084246F"/>
    <w:rsid w:val="00845BA6"/>
    <w:rsid w:val="00846BE6"/>
    <w:rsid w:val="00847777"/>
    <w:rsid w:val="008479B0"/>
    <w:rsid w:val="00850796"/>
    <w:rsid w:val="008563EF"/>
    <w:rsid w:val="00856A2E"/>
    <w:rsid w:val="0086100C"/>
    <w:rsid w:val="008703E9"/>
    <w:rsid w:val="008725A5"/>
    <w:rsid w:val="00881036"/>
    <w:rsid w:val="008816E9"/>
    <w:rsid w:val="00882542"/>
    <w:rsid w:val="00884090"/>
    <w:rsid w:val="00884469"/>
    <w:rsid w:val="00884A45"/>
    <w:rsid w:val="00884A9D"/>
    <w:rsid w:val="00885C4E"/>
    <w:rsid w:val="00895605"/>
    <w:rsid w:val="00895E8A"/>
    <w:rsid w:val="008A12F1"/>
    <w:rsid w:val="008A333F"/>
    <w:rsid w:val="008A3BC0"/>
    <w:rsid w:val="008A6AF8"/>
    <w:rsid w:val="008B06CC"/>
    <w:rsid w:val="008B1288"/>
    <w:rsid w:val="008B26BB"/>
    <w:rsid w:val="008B3280"/>
    <w:rsid w:val="008B331E"/>
    <w:rsid w:val="008B33C8"/>
    <w:rsid w:val="008B3E5C"/>
    <w:rsid w:val="008B4104"/>
    <w:rsid w:val="008B5FAF"/>
    <w:rsid w:val="008B6325"/>
    <w:rsid w:val="008B79F9"/>
    <w:rsid w:val="008C0692"/>
    <w:rsid w:val="008C13DC"/>
    <w:rsid w:val="008C1D5A"/>
    <w:rsid w:val="008C2C87"/>
    <w:rsid w:val="008C4687"/>
    <w:rsid w:val="008C6064"/>
    <w:rsid w:val="008D2425"/>
    <w:rsid w:val="008D2EAE"/>
    <w:rsid w:val="008D4FA3"/>
    <w:rsid w:val="008D75E5"/>
    <w:rsid w:val="008E01BB"/>
    <w:rsid w:val="008E0670"/>
    <w:rsid w:val="008E2204"/>
    <w:rsid w:val="008E6714"/>
    <w:rsid w:val="008F1270"/>
    <w:rsid w:val="008F1B5D"/>
    <w:rsid w:val="008F2ED1"/>
    <w:rsid w:val="008F2F76"/>
    <w:rsid w:val="008F3A12"/>
    <w:rsid w:val="008F4525"/>
    <w:rsid w:val="008F471D"/>
    <w:rsid w:val="008F57C5"/>
    <w:rsid w:val="00900F21"/>
    <w:rsid w:val="00902779"/>
    <w:rsid w:val="00902CE7"/>
    <w:rsid w:val="00903173"/>
    <w:rsid w:val="009058CB"/>
    <w:rsid w:val="00906EA2"/>
    <w:rsid w:val="00907D21"/>
    <w:rsid w:val="00911E08"/>
    <w:rsid w:val="009133C3"/>
    <w:rsid w:val="009143F6"/>
    <w:rsid w:val="00917740"/>
    <w:rsid w:val="00922409"/>
    <w:rsid w:val="00924D86"/>
    <w:rsid w:val="00927DB6"/>
    <w:rsid w:val="009308D4"/>
    <w:rsid w:val="00931266"/>
    <w:rsid w:val="00935E01"/>
    <w:rsid w:val="00937D03"/>
    <w:rsid w:val="009402F5"/>
    <w:rsid w:val="009424DE"/>
    <w:rsid w:val="0094258E"/>
    <w:rsid w:val="0094264B"/>
    <w:rsid w:val="0094677F"/>
    <w:rsid w:val="00946E87"/>
    <w:rsid w:val="00947763"/>
    <w:rsid w:val="00950902"/>
    <w:rsid w:val="009519C6"/>
    <w:rsid w:val="00955073"/>
    <w:rsid w:val="00956956"/>
    <w:rsid w:val="00956B90"/>
    <w:rsid w:val="00957346"/>
    <w:rsid w:val="00960CC6"/>
    <w:rsid w:val="00963286"/>
    <w:rsid w:val="00965177"/>
    <w:rsid w:val="00965963"/>
    <w:rsid w:val="00965C95"/>
    <w:rsid w:val="009679BA"/>
    <w:rsid w:val="009742ED"/>
    <w:rsid w:val="00980656"/>
    <w:rsid w:val="0098456A"/>
    <w:rsid w:val="00986A35"/>
    <w:rsid w:val="00987B0B"/>
    <w:rsid w:val="00992A99"/>
    <w:rsid w:val="00994152"/>
    <w:rsid w:val="009974CC"/>
    <w:rsid w:val="00997B2B"/>
    <w:rsid w:val="009A48FF"/>
    <w:rsid w:val="009A54ED"/>
    <w:rsid w:val="009A7B98"/>
    <w:rsid w:val="009B1DF0"/>
    <w:rsid w:val="009B31FA"/>
    <w:rsid w:val="009B38BF"/>
    <w:rsid w:val="009B7989"/>
    <w:rsid w:val="009C06D4"/>
    <w:rsid w:val="009C07EE"/>
    <w:rsid w:val="009C1137"/>
    <w:rsid w:val="009C3749"/>
    <w:rsid w:val="009C475B"/>
    <w:rsid w:val="009C4864"/>
    <w:rsid w:val="009C6004"/>
    <w:rsid w:val="009C6C92"/>
    <w:rsid w:val="009C78A5"/>
    <w:rsid w:val="009D1176"/>
    <w:rsid w:val="009D4830"/>
    <w:rsid w:val="009D4E3C"/>
    <w:rsid w:val="009D6828"/>
    <w:rsid w:val="009E0DF6"/>
    <w:rsid w:val="009E5BE8"/>
    <w:rsid w:val="009F122B"/>
    <w:rsid w:val="009F170B"/>
    <w:rsid w:val="009F23AD"/>
    <w:rsid w:val="009F4EDF"/>
    <w:rsid w:val="00A00909"/>
    <w:rsid w:val="00A03BD2"/>
    <w:rsid w:val="00A04652"/>
    <w:rsid w:val="00A04A4D"/>
    <w:rsid w:val="00A1232E"/>
    <w:rsid w:val="00A1243A"/>
    <w:rsid w:val="00A14599"/>
    <w:rsid w:val="00A14713"/>
    <w:rsid w:val="00A17F6C"/>
    <w:rsid w:val="00A20A5D"/>
    <w:rsid w:val="00A228C5"/>
    <w:rsid w:val="00A22BAA"/>
    <w:rsid w:val="00A2315B"/>
    <w:rsid w:val="00A24605"/>
    <w:rsid w:val="00A267E8"/>
    <w:rsid w:val="00A2735C"/>
    <w:rsid w:val="00A27ED6"/>
    <w:rsid w:val="00A32321"/>
    <w:rsid w:val="00A33557"/>
    <w:rsid w:val="00A342BA"/>
    <w:rsid w:val="00A35561"/>
    <w:rsid w:val="00A4277D"/>
    <w:rsid w:val="00A43291"/>
    <w:rsid w:val="00A43DB0"/>
    <w:rsid w:val="00A44FEC"/>
    <w:rsid w:val="00A50CC1"/>
    <w:rsid w:val="00A53374"/>
    <w:rsid w:val="00A553B2"/>
    <w:rsid w:val="00A558CE"/>
    <w:rsid w:val="00A57877"/>
    <w:rsid w:val="00A57C00"/>
    <w:rsid w:val="00A60292"/>
    <w:rsid w:val="00A62EB2"/>
    <w:rsid w:val="00A6730C"/>
    <w:rsid w:val="00A674E5"/>
    <w:rsid w:val="00A75590"/>
    <w:rsid w:val="00A814F9"/>
    <w:rsid w:val="00A827F0"/>
    <w:rsid w:val="00A82B0A"/>
    <w:rsid w:val="00A8379C"/>
    <w:rsid w:val="00A85724"/>
    <w:rsid w:val="00A85BC0"/>
    <w:rsid w:val="00A8668A"/>
    <w:rsid w:val="00A87050"/>
    <w:rsid w:val="00A87962"/>
    <w:rsid w:val="00A915F1"/>
    <w:rsid w:val="00A9392D"/>
    <w:rsid w:val="00A9730D"/>
    <w:rsid w:val="00AA0465"/>
    <w:rsid w:val="00AA315A"/>
    <w:rsid w:val="00AA3D10"/>
    <w:rsid w:val="00AA51B7"/>
    <w:rsid w:val="00AA5620"/>
    <w:rsid w:val="00AA64EA"/>
    <w:rsid w:val="00AB23B0"/>
    <w:rsid w:val="00AB3E82"/>
    <w:rsid w:val="00AB5D41"/>
    <w:rsid w:val="00AB5E3C"/>
    <w:rsid w:val="00AB603A"/>
    <w:rsid w:val="00AC04CB"/>
    <w:rsid w:val="00AC06AE"/>
    <w:rsid w:val="00AC0BF5"/>
    <w:rsid w:val="00AC30AD"/>
    <w:rsid w:val="00AC3521"/>
    <w:rsid w:val="00AC7CDC"/>
    <w:rsid w:val="00AD23A2"/>
    <w:rsid w:val="00AD46BE"/>
    <w:rsid w:val="00AD565F"/>
    <w:rsid w:val="00AD5958"/>
    <w:rsid w:val="00AE07DE"/>
    <w:rsid w:val="00AE11D2"/>
    <w:rsid w:val="00AE35B8"/>
    <w:rsid w:val="00AE3B84"/>
    <w:rsid w:val="00AE40A1"/>
    <w:rsid w:val="00AE57EF"/>
    <w:rsid w:val="00AE6A24"/>
    <w:rsid w:val="00AE71B8"/>
    <w:rsid w:val="00AF06F2"/>
    <w:rsid w:val="00AF1B63"/>
    <w:rsid w:val="00AF5B7A"/>
    <w:rsid w:val="00AF6686"/>
    <w:rsid w:val="00B01C09"/>
    <w:rsid w:val="00B05F69"/>
    <w:rsid w:val="00B1290C"/>
    <w:rsid w:val="00B13343"/>
    <w:rsid w:val="00B13F59"/>
    <w:rsid w:val="00B1536B"/>
    <w:rsid w:val="00B15A61"/>
    <w:rsid w:val="00B16A72"/>
    <w:rsid w:val="00B33DF5"/>
    <w:rsid w:val="00B35D58"/>
    <w:rsid w:val="00B36191"/>
    <w:rsid w:val="00B42E0B"/>
    <w:rsid w:val="00B45987"/>
    <w:rsid w:val="00B466F2"/>
    <w:rsid w:val="00B4685E"/>
    <w:rsid w:val="00B57791"/>
    <w:rsid w:val="00B60238"/>
    <w:rsid w:val="00B62972"/>
    <w:rsid w:val="00B63D0E"/>
    <w:rsid w:val="00B700C6"/>
    <w:rsid w:val="00B716D8"/>
    <w:rsid w:val="00B76FF2"/>
    <w:rsid w:val="00B7771E"/>
    <w:rsid w:val="00B77744"/>
    <w:rsid w:val="00B7787B"/>
    <w:rsid w:val="00B8151B"/>
    <w:rsid w:val="00B81A3D"/>
    <w:rsid w:val="00B857EB"/>
    <w:rsid w:val="00B85E8A"/>
    <w:rsid w:val="00B86FB9"/>
    <w:rsid w:val="00B902A9"/>
    <w:rsid w:val="00B926EC"/>
    <w:rsid w:val="00B95024"/>
    <w:rsid w:val="00B97872"/>
    <w:rsid w:val="00BA3552"/>
    <w:rsid w:val="00BA406A"/>
    <w:rsid w:val="00BA43F2"/>
    <w:rsid w:val="00BA5B3E"/>
    <w:rsid w:val="00BA719C"/>
    <w:rsid w:val="00BA796F"/>
    <w:rsid w:val="00BB10BE"/>
    <w:rsid w:val="00BB1A8C"/>
    <w:rsid w:val="00BB1B0A"/>
    <w:rsid w:val="00BB2B0D"/>
    <w:rsid w:val="00BB336F"/>
    <w:rsid w:val="00BB507E"/>
    <w:rsid w:val="00BB736C"/>
    <w:rsid w:val="00BC02ED"/>
    <w:rsid w:val="00BC54B5"/>
    <w:rsid w:val="00BD1608"/>
    <w:rsid w:val="00BD2301"/>
    <w:rsid w:val="00BD57D4"/>
    <w:rsid w:val="00BD584E"/>
    <w:rsid w:val="00BD5F84"/>
    <w:rsid w:val="00BD647C"/>
    <w:rsid w:val="00BD75F9"/>
    <w:rsid w:val="00BD7C5B"/>
    <w:rsid w:val="00BD7F10"/>
    <w:rsid w:val="00BE1573"/>
    <w:rsid w:val="00BE2FC9"/>
    <w:rsid w:val="00BE3232"/>
    <w:rsid w:val="00BE452C"/>
    <w:rsid w:val="00BF219E"/>
    <w:rsid w:val="00BF375A"/>
    <w:rsid w:val="00BF4B73"/>
    <w:rsid w:val="00BF4EF1"/>
    <w:rsid w:val="00C02DBF"/>
    <w:rsid w:val="00C035D2"/>
    <w:rsid w:val="00C038C6"/>
    <w:rsid w:val="00C0413C"/>
    <w:rsid w:val="00C12504"/>
    <w:rsid w:val="00C1561E"/>
    <w:rsid w:val="00C21421"/>
    <w:rsid w:val="00C228CF"/>
    <w:rsid w:val="00C23588"/>
    <w:rsid w:val="00C27748"/>
    <w:rsid w:val="00C279A9"/>
    <w:rsid w:val="00C3097D"/>
    <w:rsid w:val="00C30C7B"/>
    <w:rsid w:val="00C315D5"/>
    <w:rsid w:val="00C32D09"/>
    <w:rsid w:val="00C3383E"/>
    <w:rsid w:val="00C3466C"/>
    <w:rsid w:val="00C40BDE"/>
    <w:rsid w:val="00C4108D"/>
    <w:rsid w:val="00C41E8E"/>
    <w:rsid w:val="00C42323"/>
    <w:rsid w:val="00C42338"/>
    <w:rsid w:val="00C44066"/>
    <w:rsid w:val="00C4417D"/>
    <w:rsid w:val="00C45685"/>
    <w:rsid w:val="00C456B6"/>
    <w:rsid w:val="00C4584D"/>
    <w:rsid w:val="00C45F61"/>
    <w:rsid w:val="00C46268"/>
    <w:rsid w:val="00C47F5D"/>
    <w:rsid w:val="00C50274"/>
    <w:rsid w:val="00C50C49"/>
    <w:rsid w:val="00C50DD7"/>
    <w:rsid w:val="00C51492"/>
    <w:rsid w:val="00C51F60"/>
    <w:rsid w:val="00C53919"/>
    <w:rsid w:val="00C54456"/>
    <w:rsid w:val="00C56D16"/>
    <w:rsid w:val="00C57F6A"/>
    <w:rsid w:val="00C65457"/>
    <w:rsid w:val="00C65944"/>
    <w:rsid w:val="00C6594F"/>
    <w:rsid w:val="00C67624"/>
    <w:rsid w:val="00C67E1E"/>
    <w:rsid w:val="00C70207"/>
    <w:rsid w:val="00C73D5C"/>
    <w:rsid w:val="00C754B4"/>
    <w:rsid w:val="00C767EF"/>
    <w:rsid w:val="00C7693B"/>
    <w:rsid w:val="00C813D0"/>
    <w:rsid w:val="00C838F0"/>
    <w:rsid w:val="00C847BB"/>
    <w:rsid w:val="00C90005"/>
    <w:rsid w:val="00C900AA"/>
    <w:rsid w:val="00C92432"/>
    <w:rsid w:val="00C9285F"/>
    <w:rsid w:val="00C92AC5"/>
    <w:rsid w:val="00C93585"/>
    <w:rsid w:val="00C94254"/>
    <w:rsid w:val="00C95B01"/>
    <w:rsid w:val="00C96CEC"/>
    <w:rsid w:val="00C97A5A"/>
    <w:rsid w:val="00C97D91"/>
    <w:rsid w:val="00CA498A"/>
    <w:rsid w:val="00CA6E12"/>
    <w:rsid w:val="00CA7722"/>
    <w:rsid w:val="00CB0AA0"/>
    <w:rsid w:val="00CB0BB0"/>
    <w:rsid w:val="00CB20C7"/>
    <w:rsid w:val="00CB2E7F"/>
    <w:rsid w:val="00CB32EA"/>
    <w:rsid w:val="00CB4CC4"/>
    <w:rsid w:val="00CB56C1"/>
    <w:rsid w:val="00CB5E47"/>
    <w:rsid w:val="00CC25C1"/>
    <w:rsid w:val="00CC27A4"/>
    <w:rsid w:val="00CC447C"/>
    <w:rsid w:val="00CC4B09"/>
    <w:rsid w:val="00CD0086"/>
    <w:rsid w:val="00CD01CE"/>
    <w:rsid w:val="00CD2A06"/>
    <w:rsid w:val="00CD3BA8"/>
    <w:rsid w:val="00CD6738"/>
    <w:rsid w:val="00CD710A"/>
    <w:rsid w:val="00CD7E7D"/>
    <w:rsid w:val="00CD7F56"/>
    <w:rsid w:val="00CE1D9B"/>
    <w:rsid w:val="00CE2771"/>
    <w:rsid w:val="00CE70B0"/>
    <w:rsid w:val="00CF2FC7"/>
    <w:rsid w:val="00CF4744"/>
    <w:rsid w:val="00CF4E46"/>
    <w:rsid w:val="00CF6FC9"/>
    <w:rsid w:val="00CF7BCE"/>
    <w:rsid w:val="00D006AF"/>
    <w:rsid w:val="00D102C5"/>
    <w:rsid w:val="00D149A6"/>
    <w:rsid w:val="00D17A80"/>
    <w:rsid w:val="00D17B7D"/>
    <w:rsid w:val="00D17D82"/>
    <w:rsid w:val="00D22B22"/>
    <w:rsid w:val="00D23BD2"/>
    <w:rsid w:val="00D267C5"/>
    <w:rsid w:val="00D27456"/>
    <w:rsid w:val="00D30904"/>
    <w:rsid w:val="00D31D7C"/>
    <w:rsid w:val="00D34ADF"/>
    <w:rsid w:val="00D35883"/>
    <w:rsid w:val="00D35DE5"/>
    <w:rsid w:val="00D431EE"/>
    <w:rsid w:val="00D43DE6"/>
    <w:rsid w:val="00D443BB"/>
    <w:rsid w:val="00D45BD0"/>
    <w:rsid w:val="00D47747"/>
    <w:rsid w:val="00D50975"/>
    <w:rsid w:val="00D55366"/>
    <w:rsid w:val="00D60470"/>
    <w:rsid w:val="00D648CD"/>
    <w:rsid w:val="00D64AAE"/>
    <w:rsid w:val="00D6618C"/>
    <w:rsid w:val="00D67BA0"/>
    <w:rsid w:val="00D7090B"/>
    <w:rsid w:val="00D719DE"/>
    <w:rsid w:val="00D72389"/>
    <w:rsid w:val="00D72CE2"/>
    <w:rsid w:val="00D75372"/>
    <w:rsid w:val="00D77C9C"/>
    <w:rsid w:val="00D80016"/>
    <w:rsid w:val="00D81638"/>
    <w:rsid w:val="00D8448C"/>
    <w:rsid w:val="00D8497F"/>
    <w:rsid w:val="00D85FC6"/>
    <w:rsid w:val="00D94C33"/>
    <w:rsid w:val="00D97E79"/>
    <w:rsid w:val="00DA3E41"/>
    <w:rsid w:val="00DA5219"/>
    <w:rsid w:val="00DA7EE4"/>
    <w:rsid w:val="00DB204F"/>
    <w:rsid w:val="00DB285E"/>
    <w:rsid w:val="00DB2CC4"/>
    <w:rsid w:val="00DB5083"/>
    <w:rsid w:val="00DB71EF"/>
    <w:rsid w:val="00DB7EBD"/>
    <w:rsid w:val="00DC713F"/>
    <w:rsid w:val="00DD045F"/>
    <w:rsid w:val="00DD07B4"/>
    <w:rsid w:val="00DD436A"/>
    <w:rsid w:val="00DD4F0F"/>
    <w:rsid w:val="00DD7551"/>
    <w:rsid w:val="00DE1264"/>
    <w:rsid w:val="00DE6D27"/>
    <w:rsid w:val="00DF17B6"/>
    <w:rsid w:val="00DF246F"/>
    <w:rsid w:val="00DF38AE"/>
    <w:rsid w:val="00DF5902"/>
    <w:rsid w:val="00DF5FEA"/>
    <w:rsid w:val="00E023FF"/>
    <w:rsid w:val="00E04371"/>
    <w:rsid w:val="00E04CF2"/>
    <w:rsid w:val="00E05B79"/>
    <w:rsid w:val="00E067AC"/>
    <w:rsid w:val="00E075D9"/>
    <w:rsid w:val="00E138FD"/>
    <w:rsid w:val="00E14302"/>
    <w:rsid w:val="00E162EB"/>
    <w:rsid w:val="00E22BF1"/>
    <w:rsid w:val="00E252B3"/>
    <w:rsid w:val="00E25482"/>
    <w:rsid w:val="00E26E99"/>
    <w:rsid w:val="00E34CAD"/>
    <w:rsid w:val="00E37AE8"/>
    <w:rsid w:val="00E4018F"/>
    <w:rsid w:val="00E422E7"/>
    <w:rsid w:val="00E43250"/>
    <w:rsid w:val="00E50797"/>
    <w:rsid w:val="00E54655"/>
    <w:rsid w:val="00E55598"/>
    <w:rsid w:val="00E55B43"/>
    <w:rsid w:val="00E60209"/>
    <w:rsid w:val="00E638FE"/>
    <w:rsid w:val="00E70C8A"/>
    <w:rsid w:val="00E73036"/>
    <w:rsid w:val="00E7579B"/>
    <w:rsid w:val="00E7585C"/>
    <w:rsid w:val="00E8046B"/>
    <w:rsid w:val="00E8051C"/>
    <w:rsid w:val="00E81D15"/>
    <w:rsid w:val="00E8302C"/>
    <w:rsid w:val="00E85F62"/>
    <w:rsid w:val="00E90D34"/>
    <w:rsid w:val="00E90E91"/>
    <w:rsid w:val="00E90FB1"/>
    <w:rsid w:val="00E92CB7"/>
    <w:rsid w:val="00E941C0"/>
    <w:rsid w:val="00E95E45"/>
    <w:rsid w:val="00E9722D"/>
    <w:rsid w:val="00EA0243"/>
    <w:rsid w:val="00EA18A9"/>
    <w:rsid w:val="00EA2FC0"/>
    <w:rsid w:val="00EA6444"/>
    <w:rsid w:val="00EA7293"/>
    <w:rsid w:val="00EA7AB2"/>
    <w:rsid w:val="00EB5C31"/>
    <w:rsid w:val="00EB79BE"/>
    <w:rsid w:val="00EC0DCE"/>
    <w:rsid w:val="00EC18F3"/>
    <w:rsid w:val="00EC5A87"/>
    <w:rsid w:val="00EC7993"/>
    <w:rsid w:val="00EC7DD6"/>
    <w:rsid w:val="00ED3055"/>
    <w:rsid w:val="00EE0A40"/>
    <w:rsid w:val="00EE2660"/>
    <w:rsid w:val="00EE7913"/>
    <w:rsid w:val="00EF3131"/>
    <w:rsid w:val="00EF4426"/>
    <w:rsid w:val="00EF5FD9"/>
    <w:rsid w:val="00EF64BE"/>
    <w:rsid w:val="00F0162E"/>
    <w:rsid w:val="00F03589"/>
    <w:rsid w:val="00F10660"/>
    <w:rsid w:val="00F10D73"/>
    <w:rsid w:val="00F119DC"/>
    <w:rsid w:val="00F1264A"/>
    <w:rsid w:val="00F14747"/>
    <w:rsid w:val="00F1576F"/>
    <w:rsid w:val="00F1770D"/>
    <w:rsid w:val="00F22566"/>
    <w:rsid w:val="00F23792"/>
    <w:rsid w:val="00F2487D"/>
    <w:rsid w:val="00F261F4"/>
    <w:rsid w:val="00F26291"/>
    <w:rsid w:val="00F26571"/>
    <w:rsid w:val="00F2671D"/>
    <w:rsid w:val="00F27FB7"/>
    <w:rsid w:val="00F32834"/>
    <w:rsid w:val="00F32A33"/>
    <w:rsid w:val="00F32C19"/>
    <w:rsid w:val="00F33EE3"/>
    <w:rsid w:val="00F40579"/>
    <w:rsid w:val="00F42E7A"/>
    <w:rsid w:val="00F42EBB"/>
    <w:rsid w:val="00F46CCD"/>
    <w:rsid w:val="00F50609"/>
    <w:rsid w:val="00F50949"/>
    <w:rsid w:val="00F51F6B"/>
    <w:rsid w:val="00F55E28"/>
    <w:rsid w:val="00F60B65"/>
    <w:rsid w:val="00F61293"/>
    <w:rsid w:val="00F63FE8"/>
    <w:rsid w:val="00F727B2"/>
    <w:rsid w:val="00F73AED"/>
    <w:rsid w:val="00F74090"/>
    <w:rsid w:val="00F74F00"/>
    <w:rsid w:val="00F80020"/>
    <w:rsid w:val="00F800BB"/>
    <w:rsid w:val="00F80320"/>
    <w:rsid w:val="00F81EEE"/>
    <w:rsid w:val="00F84A39"/>
    <w:rsid w:val="00F93572"/>
    <w:rsid w:val="00F94D0B"/>
    <w:rsid w:val="00F94EFC"/>
    <w:rsid w:val="00FA022B"/>
    <w:rsid w:val="00FA415D"/>
    <w:rsid w:val="00FA550D"/>
    <w:rsid w:val="00FA55B0"/>
    <w:rsid w:val="00FA6729"/>
    <w:rsid w:val="00FB0A02"/>
    <w:rsid w:val="00FB51E6"/>
    <w:rsid w:val="00FB55E1"/>
    <w:rsid w:val="00FB7412"/>
    <w:rsid w:val="00FC1752"/>
    <w:rsid w:val="00FD0C94"/>
    <w:rsid w:val="00FD14F1"/>
    <w:rsid w:val="00FD3758"/>
    <w:rsid w:val="00FD39F1"/>
    <w:rsid w:val="00FD474A"/>
    <w:rsid w:val="00FD4940"/>
    <w:rsid w:val="00FD4CDB"/>
    <w:rsid w:val="00FD513C"/>
    <w:rsid w:val="00FE1381"/>
    <w:rsid w:val="00FE5505"/>
    <w:rsid w:val="00FE5B9C"/>
    <w:rsid w:val="00FE6814"/>
    <w:rsid w:val="00FF06DC"/>
    <w:rsid w:val="00FF08FA"/>
    <w:rsid w:val="00FF2A23"/>
    <w:rsid w:val="00FF62A3"/>
    <w:rsid w:val="00FF771D"/>
    <w:rsid w:val="0D6C34DC"/>
    <w:rsid w:val="266B3298"/>
    <w:rsid w:val="30E033C9"/>
    <w:rsid w:val="313034EA"/>
    <w:rsid w:val="3277118A"/>
    <w:rsid w:val="3EB9EC5C"/>
    <w:rsid w:val="41D43D0C"/>
    <w:rsid w:val="4AB16D80"/>
    <w:rsid w:val="58EE3F78"/>
    <w:rsid w:val="5EF37AD8"/>
    <w:rsid w:val="62310560"/>
    <w:rsid w:val="679236E2"/>
    <w:rsid w:val="6AE02751"/>
    <w:rsid w:val="6AFEFEB6"/>
    <w:rsid w:val="73A70930"/>
    <w:rsid w:val="76E71015"/>
    <w:rsid w:val="775F730A"/>
    <w:rsid w:val="79FD0587"/>
    <w:rsid w:val="7B183853"/>
    <w:rsid w:val="7BE78186"/>
    <w:rsid w:val="7EBFECC0"/>
    <w:rsid w:val="7EDBD668"/>
    <w:rsid w:val="7EEFE0A5"/>
    <w:rsid w:val="7FC59432"/>
    <w:rsid w:val="8B1FB604"/>
    <w:rsid w:val="8F952183"/>
    <w:rsid w:val="B3E6700C"/>
    <w:rsid w:val="DFAFEB5C"/>
    <w:rsid w:val="F1FEE83F"/>
    <w:rsid w:val="F45FADC4"/>
    <w:rsid w:val="F57B5E0D"/>
    <w:rsid w:val="F7AB14A7"/>
    <w:rsid w:val="F7ADD081"/>
    <w:rsid w:val="FBBFD591"/>
    <w:rsid w:val="FBFE78CA"/>
    <w:rsid w:val="FD3934FA"/>
    <w:rsid w:val="FD7A495E"/>
    <w:rsid w:val="FDFF9263"/>
    <w:rsid w:val="FE3F023E"/>
    <w:rsid w:val="FEFE223E"/>
    <w:rsid w:val="FF77871B"/>
    <w:rsid w:val="FF779E57"/>
    <w:rsid w:val="FF97350A"/>
    <w:rsid w:val="FFF8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eastAsia="仿宋_GB2312" w:cs="仿宋_GB2312" w:asciiTheme="minorHAnsi" w:hAnsiTheme="minorHAnsi"/>
      <w:kern w:val="2"/>
      <w:sz w:val="34"/>
      <w:szCs w:val="34"/>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4"/>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2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26"/>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2"/>
    <w:qFormat/>
    <w:uiPriority w:val="99"/>
    <w:pPr>
      <w:ind w:firstLine="683" w:firstLineChars="200"/>
    </w:pPr>
    <w:rPr>
      <w:rFonts w:ascii="仿宋_GB2312" w:hAnsi="宋体" w:cs="宋体"/>
      <w:b/>
      <w:bCs/>
    </w:rPr>
  </w:style>
  <w:style w:type="paragraph" w:styleId="3">
    <w:name w:val="Title"/>
    <w:basedOn w:val="1"/>
    <w:next w:val="1"/>
    <w:qFormat/>
    <w:uiPriority w:val="0"/>
    <w:pPr>
      <w:spacing w:before="240" w:after="60"/>
      <w:jc w:val="center"/>
      <w:outlineLvl w:val="0"/>
    </w:pPr>
    <w:rPr>
      <w:rFonts w:ascii="Calibri Light" w:hAnsi="Calibri Light" w:eastAsia="宋体"/>
      <w:b/>
      <w:bCs/>
      <w:szCs w:val="32"/>
      <w:lang w:val="zh-CN"/>
    </w:rPr>
  </w:style>
  <w:style w:type="paragraph" w:styleId="9">
    <w:name w:val="annotation text"/>
    <w:basedOn w:val="1"/>
    <w:link w:val="30"/>
    <w:qFormat/>
    <w:uiPriority w:val="99"/>
    <w:pPr>
      <w:jc w:val="left"/>
    </w:pPr>
  </w:style>
  <w:style w:type="paragraph" w:styleId="10">
    <w:name w:val="Balloon Text"/>
    <w:basedOn w:val="1"/>
    <w:link w:val="34"/>
    <w:qFormat/>
    <w:uiPriority w:val="0"/>
    <w:rPr>
      <w:sz w:val="18"/>
      <w:szCs w:val="18"/>
    </w:rPr>
  </w:style>
  <w:style w:type="paragraph" w:styleId="11">
    <w:name w:val="footer"/>
    <w:basedOn w:val="1"/>
    <w:link w:val="27"/>
    <w:unhideWhenUsed/>
    <w:qFormat/>
    <w:uiPriority w:val="99"/>
    <w:pPr>
      <w:tabs>
        <w:tab w:val="center" w:pos="4153"/>
        <w:tab w:val="right" w:pos="8306"/>
      </w:tabs>
      <w:snapToGrid w:val="0"/>
      <w:jc w:val="left"/>
    </w:pPr>
    <w:rPr>
      <w:rFonts w:eastAsiaTheme="minorEastAsia" w:cstheme="minorBidi"/>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unhideWhenUsed/>
    <w:qFormat/>
    <w:uiPriority w:val="99"/>
    <w:pPr>
      <w:spacing w:beforeAutospacing="1" w:afterAutospacing="1"/>
      <w:jc w:val="left"/>
    </w:pPr>
    <w:rPr>
      <w:kern w:val="0"/>
      <w:sz w:val="24"/>
    </w:rPr>
  </w:style>
  <w:style w:type="paragraph" w:styleId="15">
    <w:name w:val="annotation subject"/>
    <w:basedOn w:val="9"/>
    <w:next w:val="9"/>
    <w:link w:val="31"/>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paragraph" w:styleId="21">
    <w:name w:val="List Paragraph"/>
    <w:basedOn w:val="1"/>
    <w:unhideWhenUsed/>
    <w:qFormat/>
    <w:uiPriority w:val="99"/>
    <w:pPr>
      <w:ind w:firstLine="420" w:firstLineChars="200"/>
    </w:pPr>
  </w:style>
  <w:style w:type="character" w:customStyle="1" w:styleId="22">
    <w:name w:val="标题 2 字符"/>
    <w:basedOn w:val="18"/>
    <w:link w:val="5"/>
    <w:qFormat/>
    <w:uiPriority w:val="0"/>
    <w:rPr>
      <w:rFonts w:asciiTheme="majorHAnsi" w:hAnsiTheme="majorHAnsi" w:eastAsiaTheme="majorEastAsia" w:cstheme="majorBidi"/>
      <w:b/>
      <w:bCs/>
      <w:kern w:val="2"/>
      <w:sz w:val="32"/>
      <w:szCs w:val="32"/>
    </w:rPr>
  </w:style>
  <w:style w:type="character" w:customStyle="1" w:styleId="23">
    <w:name w:val="标题 1 字符"/>
    <w:basedOn w:val="18"/>
    <w:link w:val="4"/>
    <w:qFormat/>
    <w:uiPriority w:val="0"/>
    <w:rPr>
      <w:rFonts w:ascii="Times New Roman" w:hAnsi="Times New Roman" w:eastAsia="宋体" w:cs="Times New Roman"/>
      <w:b/>
      <w:bCs/>
      <w:kern w:val="44"/>
      <w:sz w:val="44"/>
      <w:szCs w:val="44"/>
    </w:rPr>
  </w:style>
  <w:style w:type="character" w:customStyle="1" w:styleId="24">
    <w:name w:val="标题 3 字符"/>
    <w:basedOn w:val="18"/>
    <w:link w:val="6"/>
    <w:qFormat/>
    <w:uiPriority w:val="0"/>
    <w:rPr>
      <w:rFonts w:ascii="Times New Roman" w:hAnsi="Times New Roman" w:eastAsia="宋体" w:cs="Times New Roman"/>
      <w:b/>
      <w:bCs/>
      <w:kern w:val="2"/>
      <w:sz w:val="32"/>
      <w:szCs w:val="32"/>
    </w:rPr>
  </w:style>
  <w:style w:type="character" w:customStyle="1" w:styleId="25">
    <w:name w:val="标题 4 字符"/>
    <w:basedOn w:val="18"/>
    <w:link w:val="7"/>
    <w:qFormat/>
    <w:uiPriority w:val="0"/>
    <w:rPr>
      <w:rFonts w:asciiTheme="majorHAnsi" w:hAnsiTheme="majorHAnsi" w:eastAsiaTheme="majorEastAsia" w:cstheme="majorBidi"/>
      <w:b/>
      <w:bCs/>
      <w:kern w:val="2"/>
      <w:sz w:val="28"/>
      <w:szCs w:val="28"/>
    </w:rPr>
  </w:style>
  <w:style w:type="character" w:customStyle="1" w:styleId="26">
    <w:name w:val="标题 5 字符"/>
    <w:basedOn w:val="18"/>
    <w:link w:val="8"/>
    <w:qFormat/>
    <w:uiPriority w:val="0"/>
    <w:rPr>
      <w:rFonts w:ascii="Times New Roman" w:hAnsi="Times New Roman" w:eastAsia="宋体" w:cs="Times New Roman"/>
      <w:b/>
      <w:bCs/>
      <w:kern w:val="2"/>
      <w:sz w:val="28"/>
      <w:szCs w:val="28"/>
    </w:rPr>
  </w:style>
  <w:style w:type="character" w:customStyle="1" w:styleId="27">
    <w:name w:val="页脚 字符"/>
    <w:basedOn w:val="18"/>
    <w:link w:val="11"/>
    <w:qFormat/>
    <w:uiPriority w:val="99"/>
    <w:rPr>
      <w:kern w:val="2"/>
      <w:sz w:val="18"/>
      <w:szCs w:val="18"/>
    </w:rPr>
  </w:style>
  <w:style w:type="paragraph" w:customStyle="1" w:styleId="28">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9">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30">
    <w:name w:val="批注文字 字符"/>
    <w:basedOn w:val="18"/>
    <w:link w:val="9"/>
    <w:qFormat/>
    <w:uiPriority w:val="99"/>
    <w:rPr>
      <w:rFonts w:ascii="Times New Roman" w:hAnsi="Times New Roman" w:eastAsia="宋体" w:cs="Times New Roman"/>
      <w:kern w:val="2"/>
      <w:sz w:val="21"/>
      <w:szCs w:val="24"/>
    </w:rPr>
  </w:style>
  <w:style w:type="character" w:customStyle="1" w:styleId="31">
    <w:name w:val="批注主题 字符"/>
    <w:basedOn w:val="30"/>
    <w:link w:val="15"/>
    <w:qFormat/>
    <w:uiPriority w:val="0"/>
    <w:rPr>
      <w:rFonts w:ascii="Times New Roman" w:hAnsi="Times New Roman" w:eastAsia="宋体" w:cs="Times New Roman"/>
      <w:b/>
      <w:bCs/>
      <w:kern w:val="2"/>
      <w:sz w:val="21"/>
      <w:szCs w:val="24"/>
    </w:rPr>
  </w:style>
  <w:style w:type="character" w:customStyle="1" w:styleId="32">
    <w:name w:val="正文文本 字符"/>
    <w:basedOn w:val="18"/>
    <w:link w:val="2"/>
    <w:qFormat/>
    <w:uiPriority w:val="99"/>
    <w:rPr>
      <w:rFonts w:ascii="仿宋_GB2312" w:hAnsi="宋体" w:cs="宋体"/>
      <w:b/>
      <w:bCs/>
    </w:rPr>
  </w:style>
  <w:style w:type="character" w:customStyle="1" w:styleId="33">
    <w:name w:val="未处理的提及1"/>
    <w:basedOn w:val="18"/>
    <w:semiHidden/>
    <w:unhideWhenUsed/>
    <w:qFormat/>
    <w:uiPriority w:val="99"/>
    <w:rPr>
      <w:color w:val="605E5C"/>
      <w:shd w:val="clear" w:color="auto" w:fill="E1DFDD"/>
    </w:rPr>
  </w:style>
  <w:style w:type="character" w:customStyle="1" w:styleId="34">
    <w:name w:val="批注框文本 字符"/>
    <w:basedOn w:val="18"/>
    <w:link w:val="10"/>
    <w:qFormat/>
    <w:uiPriority w:val="0"/>
    <w:rPr>
      <w:sz w:val="18"/>
      <w:szCs w:val="18"/>
    </w:rPr>
  </w:style>
  <w:style w:type="paragraph" w:customStyle="1" w:styleId="35">
    <w:name w:val="修订3"/>
    <w:hidden/>
    <w:unhideWhenUsed/>
    <w:qFormat/>
    <w:uiPriority w:val="99"/>
    <w:pPr>
      <w:spacing w:after="0" w:line="240" w:lineRule="auto"/>
    </w:pPr>
    <w:rPr>
      <w:rFonts w:eastAsia="仿宋_GB2312" w:cs="仿宋_GB2312" w:asciiTheme="minorHAnsi" w:hAnsiTheme="minorHAnsi"/>
      <w:kern w:val="2"/>
      <w:sz w:val="34"/>
      <w:szCs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2274</Words>
  <Characters>2336</Characters>
  <Lines>1</Lines>
  <Paragraphs>1</Paragraphs>
  <TotalTime>3</TotalTime>
  <ScaleCrop>false</ScaleCrop>
  <LinksUpToDate>false</LinksUpToDate>
  <CharactersWithSpaces>2388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2023-06-28T10:36:00Z</dcterms:created>
  <dc:creator>程瑜</dc:creator>
  <cp:lastModifiedBy>cty</cp:lastModifiedBy>
  <cp:lastPrinted>2025-08-23T17:58:00Z</cp:lastPrinted>
  <dcterms:modified xsi:type="dcterms:W3CDTF">2025-10-10T06:58:22Z</dcterms:modified>
  <cp:revision>953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E60FDB70D8B24204ACF1C8EE3A7702A5_11</vt:lpwstr>
  </property>
  <property fmtid="{D5CDD505-2E9C-101B-9397-08002B2CF9AE}" pid="4" name="KSOTemplateDocerSaveRecord">
    <vt:lpwstr>eyJoZGlkIjoiMDg2YmFhMWU0MzJhYjVhZWNkZjY4N2E2YzY0NWQxNzkiLCJ1c2VySWQiOiIzNTI3Nzk4MzUifQ==</vt:lpwstr>
  </property>
</Properties>
</file>